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0" w:name="OLE_LINK24"/>
      <w:bookmarkStart w:id="1" w:name="OLE_LINK13"/>
      <w:bookmarkStart w:id="2" w:name="OLE_LINK12"/>
      <w:bookmarkStart w:id="3" w:name="OLE_LINK33"/>
      <w:bookmarkStart w:id="4" w:name="OLE_LINK34"/>
      <w:r>
        <w:rPr>
          <w:rFonts w:ascii="Arial" w:hAnsi="Arial" w:cs="Arial"/>
          <w:b/>
        </w:rPr>
        <w:t>3GPP TSG RAN WG1 #110bis-e                                            R1-2209217</w:t>
      </w:r>
    </w:p>
    <w:p>
      <w:pPr>
        <w:snapToGrid w:val="0"/>
        <w:rPr>
          <w:rFonts w:ascii="Arial" w:hAnsi="Arial" w:eastAsia="MS Mincho" w:cs="Arial"/>
          <w:b/>
          <w:bCs/>
          <w:sz w:val="28"/>
          <w:szCs w:val="28"/>
        </w:rPr>
      </w:pPr>
      <w:r>
        <w:rPr>
          <w:rFonts w:ascii="Arial" w:hAnsi="Arial" w:cs="Arial"/>
          <w:b/>
        </w:rPr>
        <w:t>e-Meeting, October 10</w:t>
      </w:r>
      <w:r>
        <w:rPr>
          <w:rFonts w:ascii="Arial" w:hAnsi="Arial" w:cs="Arial"/>
          <w:b/>
          <w:vertAlign w:val="superscript"/>
        </w:rPr>
        <w:t>th</w:t>
      </w:r>
      <w:r>
        <w:rPr>
          <w:rFonts w:ascii="Arial" w:hAnsi="Arial" w:cs="Arial"/>
          <w:b/>
        </w:rPr>
        <w:t xml:space="preserve"> –19</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Title:            Discussion on Positioning for RedCap UE</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Agenda item:    9.5.3</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20" w:after="180" w:afterLines="50"/>
        <w:ind w:left="431" w:hanging="431"/>
        <w:jc w:val="both"/>
        <w:rPr>
          <w:sz w:val="28"/>
          <w:lang w:val="en-US"/>
        </w:rPr>
      </w:pPr>
      <w:bookmarkStart w:id="5" w:name="OLE_LINK1"/>
      <w:r>
        <w:rPr>
          <w:sz w:val="28"/>
          <w:lang w:val="en-US"/>
        </w:rPr>
        <w:t>Introduction</w:t>
      </w:r>
    </w:p>
    <w:p>
      <w:pPr>
        <w:widowControl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RAN#94e meeting, the study item on positioning</w:t>
      </w:r>
      <w:r>
        <w:rPr>
          <w:rFonts w:ascii="Times New Roman" w:hAnsi="Times New Roman" w:eastAsia="宋体"/>
          <w:kern w:val="2"/>
          <w:sz w:val="20"/>
          <w:szCs w:val="20"/>
        </w:rPr>
        <w:t xml:space="preserve"> for RedCap UEs</w:t>
      </w:r>
      <w:r>
        <w:rPr>
          <w:rFonts w:hint="eastAsia" w:ascii="Times New Roman" w:hAnsi="Times New Roman" w:eastAsia="宋体"/>
          <w:kern w:val="2"/>
          <w:sz w:val="20"/>
          <w:szCs w:val="20"/>
        </w:rPr>
        <w:t xml:space="preserve"> was approved [1]</w:t>
      </w:r>
      <w:r>
        <w:rPr>
          <w:rFonts w:ascii="Times New Roman" w:hAnsi="Times New Roman" w:eastAsia="宋体"/>
          <w:kern w:val="2"/>
          <w:sz w:val="20"/>
          <w:szCs w:val="20"/>
        </w:rPr>
        <w:t>. As shown in the SID, the two key research directions for RedCap UE positioning is: performance evaluation under agreed scenarios and investigating enhancements for positioning of RedCap UEs if necessary</w:t>
      </w:r>
      <w:r>
        <w:rPr>
          <w:rFonts w:hint="eastAsia" w:ascii="Times New Roman" w:hAnsi="Times New Roman" w:eastAsia="宋体"/>
          <w:kern w:val="2"/>
          <w:sz w:val="20"/>
          <w:szCs w:val="20"/>
        </w:rPr>
        <w:t>.</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numPr>
                <w:ilvl w:val="0"/>
                <w:numId w:val="4"/>
              </w:numPr>
              <w:overflowPunct w:val="0"/>
              <w:autoSpaceDE w:val="0"/>
              <w:autoSpaceDN w:val="0"/>
              <w:adjustRightInd w:val="0"/>
              <w:snapToGrid w:val="0"/>
              <w:spacing w:after="0" w:line="240" w:lineRule="auto"/>
              <w:textAlignment w:val="baseline"/>
              <w:rPr>
                <w:rFonts w:ascii="Times New Roman" w:hAnsi="Times New Roman" w:eastAsia="等线"/>
                <w:bCs/>
                <w:sz w:val="20"/>
                <w:szCs w:val="20"/>
                <w:lang w:val="en-GB" w:eastAsia="en-GB"/>
              </w:rPr>
            </w:pPr>
            <w:r>
              <w:rPr>
                <w:rFonts w:ascii="Times New Roman" w:hAnsi="Times New Roman" w:eastAsia="等线"/>
                <w:bCs/>
                <w:sz w:val="20"/>
                <w:szCs w:val="20"/>
                <w:lang w:val="en-GB" w:eastAsia="en-GB"/>
              </w:rPr>
              <w:t>Positioning support for RedCap UEs, considering the following:</w:t>
            </w:r>
          </w:p>
          <w:p>
            <w:pPr>
              <w:numPr>
                <w:ilvl w:val="1"/>
                <w:numId w:val="4"/>
              </w:numPr>
              <w:overflowPunct w:val="0"/>
              <w:autoSpaceDE w:val="0"/>
              <w:autoSpaceDN w:val="0"/>
              <w:adjustRightInd w:val="0"/>
              <w:snapToGrid w:val="0"/>
              <w:spacing w:after="0" w:line="240" w:lineRule="auto"/>
              <w:textAlignment w:val="baseline"/>
              <w:rPr>
                <w:rFonts w:ascii="Times New Roman" w:hAnsi="Times New Roman" w:eastAsia="等线"/>
                <w:bCs/>
                <w:sz w:val="20"/>
                <w:szCs w:val="20"/>
                <w:lang w:val="en-GB" w:eastAsia="en-GB"/>
              </w:rPr>
            </w:pPr>
            <w:r>
              <w:rPr>
                <w:rFonts w:ascii="Times New Roman" w:hAnsi="Times New Roman" w:eastAsia="等线"/>
                <w:bCs/>
                <w:sz w:val="20"/>
                <w:szCs w:val="20"/>
                <w:lang w:val="en-GB" w:eastAsia="en-GB"/>
              </w:rPr>
              <w:t>Evaluate positioning performance of existing positioning procedures and measurements with RedCap UEs[RAN1]</w:t>
            </w:r>
          </w:p>
          <w:p>
            <w:pPr>
              <w:numPr>
                <w:ilvl w:val="1"/>
                <w:numId w:val="4"/>
              </w:numPr>
              <w:overflowPunct w:val="0"/>
              <w:autoSpaceDE w:val="0"/>
              <w:autoSpaceDN w:val="0"/>
              <w:adjustRightInd w:val="0"/>
              <w:snapToGrid w:val="0"/>
              <w:spacing w:after="0" w:line="240" w:lineRule="auto"/>
              <w:textAlignment w:val="baseline"/>
              <w:rPr>
                <w:rFonts w:ascii="Times New Roman" w:hAnsi="Times New Roman" w:eastAsia="等线"/>
                <w:bCs/>
                <w:sz w:val="20"/>
                <w:szCs w:val="20"/>
                <w:lang w:val="en-GB" w:eastAsia="en-GB"/>
              </w:rPr>
            </w:pPr>
            <w:r>
              <w:rPr>
                <w:rFonts w:ascii="Times New Roman" w:hAnsi="Times New Roman" w:eastAsia="等线"/>
                <w:bCs/>
                <w:sz w:val="20"/>
                <w:szCs w:val="20"/>
                <w:lang w:val="en-GB" w:eastAsia="en-GB"/>
              </w:rPr>
              <w:t>Based on the evaluation, assess the necessity of enhancements and, if needed, identify enhancements to help address limitations associated with for RedCap UEs [RAN1, RAN2]</w:t>
            </w:r>
          </w:p>
        </w:tc>
      </w:tr>
    </w:tbl>
    <w:p>
      <w:pPr>
        <w:adjustRightInd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In</w:t>
      </w:r>
      <w:r>
        <w:rPr>
          <w:rFonts w:hint="eastAsia" w:ascii="Times New Roman" w:hAnsi="Times New Roman"/>
          <w:iCs/>
          <w:sz w:val="20"/>
          <w:szCs w:val="20"/>
        </w:rPr>
        <w:t xml:space="preserve"> this contribution, we</w:t>
      </w:r>
      <w:r>
        <w:rPr>
          <w:rFonts w:ascii="Times New Roman" w:hAnsi="Times New Roman"/>
          <w:iCs/>
          <w:sz w:val="20"/>
          <w:szCs w:val="20"/>
        </w:rPr>
        <w:t xml:space="preserve"> mainly</w:t>
      </w:r>
      <w:r>
        <w:rPr>
          <w:rFonts w:hint="eastAsia" w:ascii="Times New Roman" w:hAnsi="Times New Roman"/>
          <w:iCs/>
          <w:sz w:val="20"/>
          <w:szCs w:val="20"/>
        </w:rPr>
        <w:t xml:space="preserve"> </w:t>
      </w:r>
      <w:r>
        <w:rPr>
          <w:rFonts w:ascii="Times New Roman" w:hAnsi="Times New Roman"/>
          <w:iCs/>
          <w:sz w:val="20"/>
          <w:szCs w:val="20"/>
        </w:rPr>
        <w:t>provide</w:t>
      </w:r>
      <w:r>
        <w:rPr>
          <w:rFonts w:hint="eastAsia" w:ascii="Times New Roman" w:hAnsi="Times New Roman"/>
          <w:iCs/>
          <w:sz w:val="20"/>
          <w:szCs w:val="20"/>
        </w:rPr>
        <w:t xml:space="preserve"> our </w:t>
      </w:r>
      <w:r>
        <w:rPr>
          <w:rFonts w:ascii="Times New Roman" w:hAnsi="Times New Roman"/>
          <w:iCs/>
          <w:sz w:val="20"/>
          <w:szCs w:val="20"/>
        </w:rPr>
        <w:t>evaluation assumptions and results including the assessment of frequency hopping</w:t>
      </w:r>
      <w:r>
        <w:rPr>
          <w:rFonts w:hint="eastAsia" w:ascii="Times New Roman" w:hAnsi="Times New Roman"/>
          <w:iCs/>
          <w:sz w:val="20"/>
          <w:szCs w:val="20"/>
        </w:rPr>
        <w:t xml:space="preserve"> on </w:t>
      </w:r>
      <w:r>
        <w:rPr>
          <w:rFonts w:ascii="Times New Roman" w:hAnsi="Times New Roman"/>
          <w:iCs/>
          <w:sz w:val="20"/>
          <w:szCs w:val="20"/>
        </w:rPr>
        <w:t>positioning for RedCap UE</w:t>
      </w:r>
      <w:r>
        <w:rPr>
          <w:rFonts w:hint="eastAsia" w:ascii="Times New Roman" w:hAnsi="Times New Roman"/>
          <w:iCs/>
          <w:sz w:val="20"/>
          <w:szCs w:val="20"/>
        </w:rPr>
        <w:t>.</w:t>
      </w:r>
    </w:p>
    <w:p>
      <w:pPr>
        <w:pStyle w:val="2"/>
        <w:snapToGrid w:val="0"/>
        <w:spacing w:before="120" w:after="180" w:afterLines="50"/>
        <w:ind w:left="431" w:hanging="431"/>
        <w:jc w:val="both"/>
        <w:rPr>
          <w:sz w:val="28"/>
          <w:lang w:val="en-US"/>
        </w:rPr>
      </w:pPr>
      <w:r>
        <w:rPr>
          <w:sz w:val="28"/>
          <w:lang w:val="en-US"/>
        </w:rPr>
        <w:t>Potential Solutions for Positioning for RedCap UEs</w:t>
      </w:r>
    </w:p>
    <w:p>
      <w:pPr>
        <w:pStyle w:val="3"/>
        <w:snapToGrid w:val="0"/>
        <w:spacing w:line="240" w:lineRule="auto"/>
        <w:rPr>
          <w:rFonts w:ascii="Arial" w:hAnsi="Arial" w:cs="Arial"/>
          <w:b/>
          <w:sz w:val="24"/>
          <w:szCs w:val="24"/>
        </w:rPr>
      </w:pPr>
      <w:r>
        <w:rPr>
          <w:rFonts w:ascii="Arial" w:hAnsi="Arial" w:cs="Arial"/>
          <w:b/>
          <w:sz w:val="24"/>
          <w:szCs w:val="24"/>
        </w:rPr>
        <w:t>2.1 Frequency hopping</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The MIMO SRS frequency hopping has widely been applied to achieve power boosting and full frequency channel information (agreed in LTE, Rel-8 and NR Rel-15). But the frequency hopping of MIMO SRS is a hopping within single BWP.</w:t>
      </w:r>
      <w:r>
        <w:rPr>
          <w:rFonts w:hint="eastAsia" w:ascii="Times New Roman" w:hAnsi="Times New Roman"/>
          <w:sz w:val="20"/>
          <w:szCs w:val="20"/>
        </w:rPr>
        <w:t xml:space="preserve"> </w:t>
      </w:r>
      <w:r>
        <w:rPr>
          <w:rFonts w:ascii="Times New Roman" w:hAnsi="Times New Roman"/>
          <w:sz w:val="20"/>
          <w:szCs w:val="20"/>
        </w:rPr>
        <w:t>Similar to the idea above, a frequency hopping of a reference signal for positioning can extend the bandwidth of the reference signal for positioning as shown in the following Figure 2.1-1. By concatenating multiple hops of reference signal for positioning, the effective bandwidth of reference signal for positioning can be enlarged.</w:t>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object>
          <v:shape id="_x0000_i1025" o:spt="75" type="#_x0000_t75" style="height:150.65pt;width:257.2pt;" o:ole="t" filled="f" o:preferrelative="t" stroked="f" coordsize="21600,21600">
            <v:path/>
            <v:fill on="f" focussize="0,0"/>
            <v:stroke on="f" joinstyle="miter"/>
            <v:imagedata r:id="rId6" o:title=""/>
            <o:lock v:ext="edit" aspectratio="t"/>
            <w10:wrap type="none"/>
            <w10:anchorlock/>
          </v:shape>
          <o:OLEObject Type="Embed" ProgID="Visio.Drawing.11" ShapeID="_x0000_i1025" DrawAspect="Content" ObjectID="_1468075725" r:id="rId5">
            <o:LockedField>false</o:LockedField>
          </o:OLEObject>
        </w:object>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2.1-1 Frequency hopping of a reference signal for positioning</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each hop, because the RF chain (of a RedCap UE) should be tuned to another center frequency, a random phase between each hop may be introduced. Before concatenating these hops, this phase impact should be mitigated.</w:t>
      </w:r>
      <w:r>
        <w:rPr>
          <w:rFonts w:hint="eastAsia" w:ascii="Times New Roman" w:hAnsi="Times New Roman"/>
          <w:sz w:val="20"/>
          <w:szCs w:val="20"/>
        </w:rPr>
        <w:t xml:space="preserve"> </w:t>
      </w:r>
      <w:r>
        <w:rPr>
          <w:rFonts w:hint="eastAsia" w:ascii="Times New Roman" w:hAnsi="Times New Roman" w:eastAsia="宋体"/>
          <w:kern w:val="2"/>
          <w:sz w:val="20"/>
          <w:szCs w:val="20"/>
        </w:rPr>
        <w:t>In RAN1#110[2], the following agreement about resource frequency hopping has been made</w:t>
      </w:r>
      <w:r>
        <w:rPr>
          <w:rFonts w:ascii="Times New Roman" w:hAnsi="Times New Roman" w:eastAsia="宋体"/>
          <w:kern w:val="2"/>
          <w:sz w:val="20"/>
          <w:szCs w:val="20"/>
        </w:rPr>
        <w:t xml:space="preserve">, companies are encouraged to investigate potential benefits and performance gains of frequency hopping. </w:t>
      </w:r>
      <w:r>
        <w:rPr>
          <w:rFonts w:ascii="Times New Roman" w:hAnsi="Times New Roman"/>
          <w:sz w:val="20"/>
          <w:szCs w:val="20"/>
        </w:rPr>
        <w:t>To verify the above analysis, some preliminary results for evaluating the influence of Doppler, phase offset and timing offset among hops are provided in section 3.</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6" w:type="dxa"/>
          </w:tcPr>
          <w:p>
            <w:pPr>
              <w:widowControl w:val="0"/>
              <w:adjustRightInd w:val="0"/>
              <w:snapToGrid w:val="0"/>
              <w:spacing w:after="180" w:afterLines="50" w:line="240" w:lineRule="auto"/>
              <w:jc w:val="both"/>
              <w:rPr>
                <w:rFonts w:ascii="Times New Roman" w:hAnsi="Times New Roman" w:eastAsia="宋体"/>
                <w:b/>
                <w:kern w:val="2"/>
                <w:sz w:val="21"/>
                <w:szCs w:val="21"/>
                <w:lang w:val="en-GB" w:eastAsia="en-GB"/>
              </w:rPr>
            </w:pPr>
            <w:r>
              <w:rPr>
                <w:rFonts w:ascii="Times New Roman" w:hAnsi="Times New Roman" w:eastAsia="宋体"/>
                <w:b/>
                <w:kern w:val="2"/>
                <w:sz w:val="21"/>
                <w:szCs w:val="21"/>
                <w:lang w:val="en-GB" w:eastAsia="en-GB"/>
              </w:rPr>
              <w:t>Agreement</w:t>
            </w:r>
          </w:p>
          <w:p>
            <w:pPr>
              <w:widowControl w:val="0"/>
              <w:adjustRightInd w:val="0"/>
              <w:snapToGrid w:val="0"/>
              <w:spacing w:after="180" w:afterLines="50" w:line="240" w:lineRule="auto"/>
              <w:jc w:val="both"/>
              <w:rPr>
                <w:rFonts w:ascii="Times New Roman" w:hAnsi="Times New Roman" w:eastAsia="宋体"/>
                <w:bCs/>
                <w:kern w:val="2"/>
                <w:sz w:val="20"/>
                <w:szCs w:val="20"/>
                <w:lang w:val="en-GB"/>
              </w:rPr>
            </w:pPr>
            <w:r>
              <w:rPr>
                <w:rFonts w:ascii="Times New Roman" w:hAnsi="Times New Roman" w:eastAsia="宋体"/>
                <w:bCs/>
                <w:kern w:val="2"/>
                <w:sz w:val="20"/>
                <w:szCs w:val="20"/>
                <w:lang w:val="en-GB"/>
              </w:rPr>
              <w:t>The potential benefits and performance gains of frequency hopping of the DL PRS and UL SRS can be investigated in release 18, which may take into account at least the following:</w:t>
            </w:r>
          </w:p>
          <w:p>
            <w:pPr>
              <w:widowControl w:val="0"/>
              <w:numPr>
                <w:ilvl w:val="0"/>
                <w:numId w:val="5"/>
              </w:numPr>
              <w:adjustRightInd w:val="0"/>
              <w:snapToGrid w:val="0"/>
              <w:spacing w:after="180" w:afterLines="50" w:line="240" w:lineRule="auto"/>
              <w:jc w:val="both"/>
              <w:rPr>
                <w:rFonts w:ascii="Times New Roman" w:hAnsi="Times New Roman" w:eastAsia="宋体"/>
                <w:bCs/>
                <w:kern w:val="2"/>
                <w:sz w:val="20"/>
                <w:szCs w:val="20"/>
                <w:lang w:val="en-GB"/>
              </w:rPr>
            </w:pPr>
            <w:r>
              <w:rPr>
                <w:rFonts w:ascii="Times New Roman" w:hAnsi="Times New Roman" w:eastAsia="Times New Roman"/>
                <w:kern w:val="2"/>
                <w:sz w:val="20"/>
                <w:szCs w:val="20"/>
              </w:rPr>
              <w:t>The impact of Doppler, phase offset, timing offset, power imbalance among hops</w:t>
            </w:r>
          </w:p>
          <w:p>
            <w:pPr>
              <w:widowControl w:val="0"/>
              <w:numPr>
                <w:ilvl w:val="0"/>
                <w:numId w:val="5"/>
              </w:numPr>
              <w:adjustRightInd w:val="0"/>
              <w:snapToGrid w:val="0"/>
              <w:spacing w:after="180" w:afterLines="50" w:line="240" w:lineRule="auto"/>
              <w:jc w:val="both"/>
              <w:rPr>
                <w:rFonts w:ascii="Times New Roman" w:hAnsi="Times New Roman" w:eastAsia="Times New Roman"/>
                <w:kern w:val="2"/>
                <w:sz w:val="20"/>
                <w:szCs w:val="20"/>
              </w:rPr>
            </w:pPr>
            <w:r>
              <w:rPr>
                <w:rFonts w:ascii="Times New Roman" w:hAnsi="Times New Roman" w:eastAsia="Times New Roman"/>
                <w:kern w:val="2"/>
                <w:sz w:val="20"/>
                <w:szCs w:val="20"/>
              </w:rPr>
              <w:t>RedCap UE capability and complexity considerations</w:t>
            </w:r>
          </w:p>
          <w:p>
            <w:pPr>
              <w:widowControl w:val="0"/>
              <w:numPr>
                <w:ilvl w:val="0"/>
                <w:numId w:val="5"/>
              </w:numPr>
              <w:adjustRightInd w:val="0"/>
              <w:snapToGrid w:val="0"/>
              <w:spacing w:after="180" w:afterLines="50" w:line="240" w:lineRule="auto"/>
              <w:jc w:val="both"/>
              <w:rPr>
                <w:rFonts w:ascii="Times New Roman" w:hAnsi="Times New Roman" w:eastAsia="Times New Roman"/>
                <w:kern w:val="2"/>
                <w:sz w:val="20"/>
                <w:szCs w:val="20"/>
              </w:rPr>
            </w:pPr>
            <w:r>
              <w:rPr>
                <w:rFonts w:ascii="Times New Roman" w:hAnsi="Times New Roman" w:eastAsia="Times New Roman"/>
                <w:kern w:val="2"/>
                <w:sz w:val="20"/>
                <w:szCs w:val="20"/>
              </w:rPr>
              <w:t>Impact of RF retuning during frequency hopping</w:t>
            </w:r>
          </w:p>
          <w:p>
            <w:pPr>
              <w:widowControl w:val="0"/>
              <w:numPr>
                <w:ilvl w:val="0"/>
                <w:numId w:val="5"/>
              </w:numPr>
              <w:adjustRightInd w:val="0"/>
              <w:snapToGrid w:val="0"/>
              <w:spacing w:after="180" w:afterLines="50" w:line="240" w:lineRule="auto"/>
              <w:jc w:val="both"/>
              <w:rPr>
                <w:rFonts w:ascii="Times New Roman" w:hAnsi="Times New Roman" w:eastAsia="宋体"/>
                <w:kern w:val="2"/>
                <w:sz w:val="20"/>
                <w:szCs w:val="20"/>
              </w:rPr>
            </w:pPr>
            <w:r>
              <w:rPr>
                <w:rFonts w:ascii="Times New Roman" w:hAnsi="Times New Roman" w:eastAsia="Times New Roman"/>
                <w:kern w:val="2"/>
                <w:sz w:val="20"/>
                <w:szCs w:val="20"/>
              </w:rPr>
              <w:t xml:space="preserve">Details of frequency hopping </w:t>
            </w:r>
            <w:r>
              <w:rPr>
                <w:rFonts w:ascii="Times New Roman" w:hAnsi="Times New Roman" w:eastAsia="宋体"/>
                <w:bCs/>
                <w:kern w:val="2"/>
                <w:sz w:val="20"/>
                <w:szCs w:val="20"/>
                <w:lang w:val="en-GB"/>
              </w:rPr>
              <w:t xml:space="preserve">(including Tx hopping and/or Rx hopping, BWP switching) for the study </w:t>
            </w:r>
            <w:r>
              <w:rPr>
                <w:rFonts w:ascii="Times New Roman" w:hAnsi="Times New Roman" w:eastAsia="Times New Roman"/>
                <w:kern w:val="2"/>
                <w:sz w:val="20"/>
                <w:szCs w:val="20"/>
              </w:rPr>
              <w:t>are FFS</w:t>
            </w:r>
          </w:p>
        </w:tc>
      </w:tr>
    </w:tbl>
    <w:p>
      <w:pPr>
        <w:widowControl w:val="0"/>
        <w:snapToGrid w:val="0"/>
        <w:spacing w:before="180" w:beforeLines="50" w:after="180" w:afterLines="50" w:line="240" w:lineRule="auto"/>
        <w:rPr>
          <w:rFonts w:ascii="Times New Roman" w:hAnsi="Times New Roman"/>
          <w:sz w:val="20"/>
          <w:szCs w:val="20"/>
        </w:rPr>
      </w:pPr>
    </w:p>
    <w:p>
      <w:pPr>
        <w:widowControl w:val="0"/>
        <w:snapToGrid w:val="0"/>
        <w:spacing w:before="180" w:beforeLines="50" w:after="180" w:afterLines="50" w:line="240" w:lineRule="auto"/>
        <w:ind w:left="142"/>
        <w:jc w:val="both"/>
        <w:outlineLvl w:val="2"/>
        <w:rPr>
          <w:rFonts w:ascii="Times New Roman" w:hAnsi="Times New Roman" w:eastAsia="宋体"/>
          <w:b/>
          <w:bCs/>
          <w:kern w:val="2"/>
          <w:sz w:val="20"/>
          <w:szCs w:val="20"/>
        </w:rPr>
      </w:pPr>
      <w:r>
        <w:rPr>
          <w:rFonts w:ascii="Times New Roman" w:hAnsi="Times New Roman" w:eastAsia="宋体"/>
          <w:b/>
          <w:bCs/>
          <w:kern w:val="2"/>
          <w:sz w:val="20"/>
          <w:szCs w:val="20"/>
        </w:rPr>
        <w:t>2</w:t>
      </w:r>
      <w:r>
        <w:rPr>
          <w:rFonts w:hint="eastAsia" w:ascii="Times New Roman" w:hAnsi="Times New Roman" w:eastAsia="宋体"/>
          <w:b/>
          <w:bCs/>
          <w:kern w:val="2"/>
          <w:sz w:val="20"/>
          <w:szCs w:val="20"/>
        </w:rPr>
        <w:t>.</w:t>
      </w:r>
      <w:r>
        <w:rPr>
          <w:rFonts w:ascii="Times New Roman" w:hAnsi="Times New Roman" w:eastAsia="宋体"/>
          <w:b/>
          <w:bCs/>
          <w:kern w:val="2"/>
          <w:sz w:val="20"/>
          <w:szCs w:val="20"/>
        </w:rPr>
        <w:t>1</w:t>
      </w:r>
      <w:r>
        <w:rPr>
          <w:rFonts w:hint="eastAsia" w:ascii="Times New Roman" w:hAnsi="Times New Roman" w:eastAsia="宋体"/>
          <w:b/>
          <w:bCs/>
          <w:kern w:val="2"/>
          <w:sz w:val="20"/>
          <w:szCs w:val="20"/>
        </w:rPr>
        <w:t>.</w:t>
      </w:r>
      <w:r>
        <w:rPr>
          <w:rFonts w:ascii="Times New Roman" w:hAnsi="Times New Roman" w:eastAsia="宋体"/>
          <w:b/>
          <w:bCs/>
          <w:kern w:val="2"/>
          <w:sz w:val="20"/>
          <w:szCs w:val="20"/>
        </w:rPr>
        <w:t>1</w:t>
      </w:r>
      <w:r>
        <w:rPr>
          <w:rFonts w:hint="eastAsia" w:ascii="Times New Roman" w:hAnsi="Times New Roman" w:eastAsia="宋体"/>
          <w:b/>
          <w:bCs/>
          <w:kern w:val="2"/>
          <w:sz w:val="20"/>
          <w:szCs w:val="20"/>
        </w:rPr>
        <w:t xml:space="preserve"> RS configuration for hopping</w:t>
      </w:r>
    </w:p>
    <w:p>
      <w:pPr>
        <w:widowControl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positioning RS hopping for RedCap UE, </w:t>
      </w:r>
      <w:r>
        <w:rPr>
          <w:rFonts w:hint="eastAsia" w:ascii="Times New Roman" w:hAnsi="Times New Roman" w:eastAsia="宋体"/>
          <w:sz w:val="20"/>
          <w:szCs w:val="20"/>
        </w:rPr>
        <w:t>we think</w:t>
      </w:r>
      <w:r>
        <w:rPr>
          <w:rFonts w:hint="eastAsia" w:ascii="Times New Roman" w:hAnsi="Times New Roman" w:eastAsia="宋体"/>
          <w:kern w:val="2"/>
          <w:sz w:val="20"/>
          <w:szCs w:val="20"/>
        </w:rPr>
        <w:t xml:space="preserve"> there are several candidate solutions in term of specification enhancement as listed as follows:</w:t>
      </w:r>
    </w:p>
    <w:p>
      <w:pPr>
        <w:pStyle w:val="89"/>
        <w:widowControl w:val="0"/>
        <w:numPr>
          <w:ilvl w:val="0"/>
          <w:numId w:val="6"/>
        </w:numPr>
        <w:snapToGrid w:val="0"/>
        <w:spacing w:before="180" w:beforeLines="50" w:afterLines="50" w:line="240" w:lineRule="auto"/>
        <w:jc w:val="both"/>
        <w:rPr>
          <w:kern w:val="2"/>
          <w:sz w:val="20"/>
        </w:rPr>
      </w:pPr>
      <w:r>
        <w:rPr>
          <w:rFonts w:hint="eastAsia"/>
          <w:kern w:val="2"/>
          <w:sz w:val="20"/>
        </w:rPr>
        <w:t>Frequency h</w:t>
      </w:r>
      <w:r>
        <w:rPr>
          <w:kern w:val="2"/>
          <w:sz w:val="20"/>
        </w:rPr>
        <w:t>opping within one resource</w:t>
      </w:r>
    </w:p>
    <w:p>
      <w:pPr>
        <w:widowControl w:val="0"/>
        <w:adjustRightInd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this way, t</w:t>
      </w:r>
      <w:r>
        <w:rPr>
          <w:rFonts w:ascii="Times New Roman" w:hAnsi="Times New Roman" w:eastAsia="宋体"/>
          <w:kern w:val="2"/>
          <w:sz w:val="20"/>
          <w:szCs w:val="20"/>
        </w:rPr>
        <w:t xml:space="preserve">he frequency </w:t>
      </w:r>
      <w:r>
        <w:rPr>
          <w:rFonts w:hint="eastAsia" w:ascii="Times New Roman" w:hAnsi="Times New Roman" w:eastAsia="宋体"/>
          <w:kern w:val="2"/>
          <w:sz w:val="20"/>
          <w:szCs w:val="20"/>
        </w:rPr>
        <w:t xml:space="preserve">domain </w:t>
      </w:r>
      <w:r>
        <w:rPr>
          <w:rFonts w:ascii="Times New Roman" w:hAnsi="Times New Roman" w:eastAsia="宋体"/>
          <w:kern w:val="2"/>
          <w:sz w:val="20"/>
          <w:szCs w:val="20"/>
        </w:rPr>
        <w:t>resource of one reference signal is d</w:t>
      </w:r>
      <w:r>
        <w:rPr>
          <w:rFonts w:hint="eastAsia" w:ascii="Times New Roman" w:hAnsi="Times New Roman" w:eastAsia="宋体"/>
          <w:kern w:val="2"/>
          <w:sz w:val="20"/>
          <w:szCs w:val="20"/>
        </w:rPr>
        <w:t>ivided</w:t>
      </w:r>
      <w:r>
        <w:rPr>
          <w:rFonts w:ascii="Times New Roman" w:hAnsi="Times New Roman" w:eastAsia="宋体"/>
          <w:kern w:val="2"/>
          <w:sz w:val="20"/>
          <w:szCs w:val="20"/>
        </w:rPr>
        <w:t xml:space="preserve"> into several parts, </w:t>
      </w:r>
      <w:r>
        <w:rPr>
          <w:rFonts w:hint="eastAsia" w:ascii="Times New Roman" w:hAnsi="Times New Roman" w:eastAsia="宋体"/>
          <w:kern w:val="2"/>
          <w:sz w:val="20"/>
          <w:szCs w:val="20"/>
        </w:rPr>
        <w:t xml:space="preserve">each part corresponds to a frequency hop, and several hops are </w:t>
      </w:r>
      <w:r>
        <w:rPr>
          <w:rFonts w:ascii="Times New Roman" w:hAnsi="Times New Roman" w:eastAsia="宋体"/>
          <w:kern w:val="2"/>
          <w:sz w:val="20"/>
          <w:szCs w:val="20"/>
        </w:rPr>
        <w:t>received</w:t>
      </w:r>
      <w:r>
        <w:rPr>
          <w:rFonts w:hint="eastAsia" w:ascii="Times New Roman" w:hAnsi="Times New Roman" w:eastAsia="宋体"/>
          <w:kern w:val="2"/>
          <w:sz w:val="20"/>
          <w:szCs w:val="20"/>
        </w:rPr>
        <w:t xml:space="preserve"> in different symbols</w:t>
      </w:r>
      <w:r>
        <w:rPr>
          <w:rFonts w:ascii="Times New Roman" w:hAnsi="Times New Roman" w:eastAsia="宋体"/>
          <w:kern w:val="2"/>
          <w:sz w:val="20"/>
          <w:szCs w:val="20"/>
        </w:rPr>
        <w:t xml:space="preserve"> with a combination as a whole (as shown in Figure 2.1-2)</w:t>
      </w:r>
      <w:r>
        <w:rPr>
          <w:rFonts w:hint="eastAsia" w:ascii="Times New Roman" w:hAnsi="Times New Roman" w:eastAsia="宋体"/>
          <w:kern w:val="2"/>
          <w:sz w:val="20"/>
          <w:szCs w:val="20"/>
        </w:rPr>
        <w:t>. In other words, the three hopping parts refer to different symbols of one RS resource.</w:t>
      </w:r>
    </w:p>
    <w:p>
      <w:pPr>
        <w:widowControl w:val="0"/>
        <w:adjustRightInd w:val="0"/>
        <w:snapToGrid w:val="0"/>
        <w:spacing w:before="180" w:beforeLines="50" w:after="180" w:afterLines="50" w:line="240" w:lineRule="auto"/>
        <w:ind w:left="420"/>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3122295" cy="1979930"/>
            <wp:effectExtent l="0" t="0" r="0" b="0"/>
            <wp:docPr id="15" name="图片 15" descr="hopp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hopping 1"/>
                    <pic:cNvPicPr>
                      <a:picLocks noChangeAspect="1"/>
                    </pic:cNvPicPr>
                  </pic:nvPicPr>
                  <pic:blipFill>
                    <a:blip r:embed="rId7"/>
                    <a:stretch>
                      <a:fillRect/>
                    </a:stretch>
                  </pic:blipFill>
                  <pic:spPr>
                    <a:xfrm>
                      <a:off x="0" y="0"/>
                      <a:ext cx="3122295" cy="1979930"/>
                    </a:xfrm>
                    <a:prstGeom prst="rect">
                      <a:avLst/>
                    </a:prstGeom>
                  </pic:spPr>
                </pic:pic>
              </a:graphicData>
            </a:graphic>
          </wp:inline>
        </w:drawing>
      </w:r>
    </w:p>
    <w:p>
      <w:pPr>
        <w:widowControl w:val="0"/>
        <w:adjustRightInd w:val="0"/>
        <w:snapToGrid w:val="0"/>
        <w:spacing w:before="180" w:beforeLines="50" w:after="180" w:afterLines="50" w:line="240" w:lineRule="auto"/>
        <w:ind w:left="420"/>
        <w:jc w:val="center"/>
        <w:rPr>
          <w:rFonts w:ascii="Times New Roman" w:hAnsi="Times New Roman" w:eastAsia="宋体"/>
          <w:kern w:val="2"/>
          <w:sz w:val="20"/>
          <w:szCs w:val="20"/>
        </w:rPr>
      </w:pPr>
      <w:r>
        <w:rPr>
          <w:rFonts w:hint="eastAsia" w:ascii="Times New Roman" w:hAnsi="Times New Roman" w:eastAsia="宋体"/>
          <w:kern w:val="2"/>
          <w:sz w:val="20"/>
          <w:szCs w:val="20"/>
        </w:rPr>
        <w:t xml:space="preserve">Figure </w:t>
      </w:r>
      <w:r>
        <w:rPr>
          <w:rFonts w:ascii="Times New Roman" w:hAnsi="Times New Roman" w:eastAsia="宋体"/>
          <w:kern w:val="2"/>
          <w:sz w:val="20"/>
          <w:szCs w:val="20"/>
        </w:rPr>
        <w:t>2.1-2</w:t>
      </w:r>
      <w:r>
        <w:rPr>
          <w:rFonts w:hint="eastAsia" w:ascii="Times New Roman" w:hAnsi="Times New Roman" w:eastAsia="宋体"/>
          <w:kern w:val="2"/>
          <w:sz w:val="20"/>
          <w:szCs w:val="20"/>
        </w:rPr>
        <w:t>. Example of frequency hopping within one resource</w:t>
      </w:r>
    </w:p>
    <w:p>
      <w:pPr>
        <w:pStyle w:val="89"/>
        <w:widowControl w:val="0"/>
        <w:numPr>
          <w:ilvl w:val="0"/>
          <w:numId w:val="6"/>
        </w:numPr>
        <w:snapToGrid w:val="0"/>
        <w:spacing w:before="180" w:beforeLines="50" w:afterLines="50" w:line="240" w:lineRule="auto"/>
        <w:jc w:val="both"/>
        <w:rPr>
          <w:kern w:val="2"/>
          <w:sz w:val="20"/>
        </w:rPr>
      </w:pPr>
      <w:r>
        <w:rPr>
          <w:rFonts w:hint="eastAsia"/>
          <w:kern w:val="2"/>
          <w:sz w:val="20"/>
        </w:rPr>
        <w:t>Frequency hopping within one resource set</w:t>
      </w:r>
    </w:p>
    <w:p>
      <w:pPr>
        <w:widowControl w:val="0"/>
        <w:adjustRightInd w:val="0"/>
        <w:snapToGrid w:val="0"/>
        <w:spacing w:before="180" w:beforeLines="50"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In this way, assuming that one reference signal resource set contains several reference signal resources, then different reference signal resources may have different frequency range and correspond to different hops</w:t>
      </w:r>
      <w:r>
        <w:rPr>
          <w:rFonts w:ascii="Times New Roman" w:hAnsi="Times New Roman" w:eastAsia="宋体"/>
          <w:kern w:val="2"/>
          <w:sz w:val="20"/>
          <w:szCs w:val="20"/>
        </w:rPr>
        <w:t xml:space="preserve"> (as shown in Figure 2.1-3)</w:t>
      </w:r>
      <w:r>
        <w:rPr>
          <w:rFonts w:hint="eastAsia" w:ascii="Times New Roman" w:hAnsi="Times New Roman" w:eastAsia="宋体"/>
          <w:kern w:val="2"/>
          <w:sz w:val="20"/>
          <w:szCs w:val="20"/>
        </w:rPr>
        <w:t>.</w:t>
      </w:r>
      <w:r>
        <w:rPr>
          <w:rFonts w:ascii="Times New Roman" w:hAnsi="Times New Roman" w:eastAsia="宋体"/>
          <w:kern w:val="2"/>
          <w:sz w:val="20"/>
          <w:szCs w:val="20"/>
        </w:rPr>
        <w:t xml:space="preserve"> Similarly, the received signals from different resources are concatenated for positioning related processing.</w:t>
      </w:r>
    </w:p>
    <w:p>
      <w:pPr>
        <w:widowControl w:val="0"/>
        <w:adjustRightInd w:val="0"/>
        <w:snapToGrid w:val="0"/>
        <w:spacing w:before="180" w:beforeLines="50" w:after="180" w:afterLines="50" w:line="240" w:lineRule="auto"/>
        <w:ind w:left="420"/>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4414520" cy="2016125"/>
            <wp:effectExtent l="0" t="0" r="0" b="0"/>
            <wp:docPr id="16" name="图片 16" descr="hopp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hopping 2"/>
                    <pic:cNvPicPr>
                      <a:picLocks noChangeAspect="1"/>
                    </pic:cNvPicPr>
                  </pic:nvPicPr>
                  <pic:blipFill>
                    <a:blip r:embed="rId8"/>
                    <a:stretch>
                      <a:fillRect/>
                    </a:stretch>
                  </pic:blipFill>
                  <pic:spPr>
                    <a:xfrm>
                      <a:off x="0" y="0"/>
                      <a:ext cx="4414520" cy="2016125"/>
                    </a:xfrm>
                    <a:prstGeom prst="rect">
                      <a:avLst/>
                    </a:prstGeom>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Figure 2</w:t>
      </w:r>
      <w:r>
        <w:rPr>
          <w:rFonts w:ascii="Times New Roman" w:hAnsi="Times New Roman" w:eastAsia="宋体"/>
          <w:kern w:val="2"/>
          <w:sz w:val="20"/>
          <w:szCs w:val="20"/>
        </w:rPr>
        <w:t>.1-3</w:t>
      </w:r>
      <w:r>
        <w:rPr>
          <w:rFonts w:hint="eastAsia" w:ascii="Times New Roman" w:hAnsi="Times New Roman" w:eastAsia="宋体"/>
          <w:kern w:val="2"/>
          <w:sz w:val="20"/>
          <w:szCs w:val="20"/>
        </w:rPr>
        <w:t>. Example of frequency hopping within one resource set</w:t>
      </w:r>
    </w:p>
    <w:p>
      <w:pPr>
        <w:pStyle w:val="89"/>
        <w:widowControl w:val="0"/>
        <w:numPr>
          <w:ilvl w:val="0"/>
          <w:numId w:val="6"/>
        </w:numPr>
        <w:snapToGrid w:val="0"/>
        <w:spacing w:before="180" w:beforeLines="50" w:afterLines="50" w:line="240" w:lineRule="auto"/>
        <w:jc w:val="both"/>
        <w:rPr>
          <w:kern w:val="2"/>
          <w:sz w:val="20"/>
        </w:rPr>
      </w:pPr>
      <w:r>
        <w:rPr>
          <w:rFonts w:hint="eastAsia"/>
          <w:kern w:val="2"/>
          <w:sz w:val="20"/>
        </w:rPr>
        <w:t>Frequency hopping between different CCs/BWPs/PFLs</w:t>
      </w:r>
      <w:r>
        <w:rPr>
          <w:rFonts w:hint="eastAsia"/>
          <w:kern w:val="2"/>
          <w:sz w:val="20"/>
          <w:lang w:eastAsia="zh-CN"/>
        </w:rPr>
        <w:t>/resource sets</w:t>
      </w:r>
      <w:r>
        <w:rPr>
          <w:kern w:val="2"/>
          <w:sz w:val="20"/>
        </w:rPr>
        <w:t xml:space="preserve"> </w:t>
      </w:r>
    </w:p>
    <w:p>
      <w:pPr>
        <w:widowControl w:val="0"/>
        <w:numPr>
          <w:ilvl w:val="0"/>
          <w:numId w:val="7"/>
        </w:numPr>
        <w:adjustRightInd w:val="0"/>
        <w:snapToGrid w:val="0"/>
        <w:spacing w:before="180" w:beforeLines="50" w:after="180" w:afterLines="50" w:line="240" w:lineRule="auto"/>
        <w:ind w:left="840"/>
        <w:jc w:val="both"/>
        <w:rPr>
          <w:rFonts w:ascii="Times New Roman" w:hAnsi="Times New Roman" w:eastAsia="宋体"/>
          <w:kern w:val="2"/>
          <w:sz w:val="20"/>
          <w:szCs w:val="20"/>
        </w:rPr>
      </w:pPr>
      <w:r>
        <w:rPr>
          <w:rFonts w:hint="eastAsia" w:ascii="Times New Roman" w:hAnsi="Times New Roman" w:eastAsia="宋体"/>
          <w:kern w:val="2"/>
          <w:sz w:val="20"/>
          <w:szCs w:val="20"/>
        </w:rPr>
        <w:t>In this way, several reference signal resources belonging to different CCs/BWPs/PFLs/resource sets can be associated to compose frequency hopping. One example is, different reference signal resources with the same ID in different CCs/BWPs/PFLs correspond to different hops</w:t>
      </w:r>
      <w:r>
        <w:rPr>
          <w:rFonts w:ascii="Times New Roman" w:hAnsi="Times New Roman" w:eastAsia="宋体"/>
          <w:kern w:val="2"/>
          <w:sz w:val="20"/>
          <w:szCs w:val="20"/>
        </w:rPr>
        <w:t xml:space="preserve"> (as shown in Figure 2.1-4)</w:t>
      </w:r>
      <w:r>
        <w:rPr>
          <w:rFonts w:hint="eastAsia" w:ascii="Times New Roman" w:hAnsi="Times New Roman" w:eastAsia="宋体"/>
          <w:kern w:val="2"/>
          <w:sz w:val="20"/>
          <w:szCs w:val="20"/>
        </w:rPr>
        <w:t>.</w:t>
      </w:r>
    </w:p>
    <w:p>
      <w:pPr>
        <w:widowControl w:val="0"/>
        <w:adjustRightInd w:val="0"/>
        <w:snapToGrid w:val="0"/>
        <w:spacing w:before="180" w:beforeLines="50" w:after="180" w:afterLines="50" w:line="240" w:lineRule="auto"/>
        <w:ind w:left="420"/>
        <w:jc w:val="center"/>
        <w:rPr>
          <w:rFonts w:ascii="Times New Roman" w:hAnsi="Times New Roman" w:eastAsia="宋体"/>
          <w:kern w:val="2"/>
          <w:sz w:val="20"/>
          <w:szCs w:val="20"/>
        </w:rPr>
      </w:pPr>
      <w:r>
        <w:rPr>
          <w:rFonts w:ascii="Times New Roman" w:hAnsi="Times New Roman" w:eastAsia="宋体"/>
          <w:kern w:val="2"/>
          <w:sz w:val="20"/>
          <w:szCs w:val="20"/>
        </w:rPr>
        <w:drawing>
          <wp:inline distT="0" distB="0" distL="114300" distR="114300">
            <wp:extent cx="2091690" cy="2016125"/>
            <wp:effectExtent l="0" t="0" r="3810" b="0"/>
            <wp:docPr id="17" name="图片 17" descr="hopp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hopping 3"/>
                    <pic:cNvPicPr>
                      <a:picLocks noChangeAspect="1"/>
                    </pic:cNvPicPr>
                  </pic:nvPicPr>
                  <pic:blipFill>
                    <a:blip r:embed="rId9"/>
                    <a:stretch>
                      <a:fillRect/>
                    </a:stretch>
                  </pic:blipFill>
                  <pic:spPr>
                    <a:xfrm>
                      <a:off x="0" y="0"/>
                      <a:ext cx="2091690" cy="2016125"/>
                    </a:xfrm>
                    <a:prstGeom prst="rect">
                      <a:avLst/>
                    </a:prstGeom>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eastAsia="宋体"/>
          <w:kern w:val="2"/>
          <w:sz w:val="20"/>
          <w:szCs w:val="20"/>
        </w:rPr>
      </w:pPr>
      <w:r>
        <w:rPr>
          <w:rFonts w:hint="eastAsia" w:ascii="Times New Roman" w:hAnsi="Times New Roman" w:eastAsia="宋体"/>
          <w:kern w:val="2"/>
          <w:sz w:val="20"/>
          <w:szCs w:val="20"/>
        </w:rPr>
        <w:t xml:space="preserve">Figure </w:t>
      </w:r>
      <w:r>
        <w:rPr>
          <w:rFonts w:ascii="Times New Roman" w:hAnsi="Times New Roman" w:eastAsia="宋体"/>
          <w:kern w:val="2"/>
          <w:sz w:val="20"/>
          <w:szCs w:val="20"/>
        </w:rPr>
        <w:t>2.1-4</w:t>
      </w:r>
      <w:r>
        <w:rPr>
          <w:rFonts w:hint="eastAsia" w:ascii="Times New Roman" w:hAnsi="Times New Roman" w:eastAsia="宋体"/>
          <w:kern w:val="2"/>
          <w:sz w:val="20"/>
          <w:szCs w:val="20"/>
        </w:rPr>
        <w:t>. Example of frequency hopping between different CCs</w:t>
      </w:r>
    </w:p>
    <w:p>
      <w:pPr>
        <w:widowControl w:val="0"/>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hint="eastAsia" w:ascii="Times New Roman" w:hAnsi="Times New Roman" w:eastAsia="宋体"/>
          <w:bCs/>
          <w:i/>
          <w:iCs/>
          <w:kern w:val="2"/>
          <w:sz w:val="20"/>
          <w:szCs w:val="20"/>
        </w:rPr>
        <w:t>For RedCap UE, further study the following candidate solutions of RS resource frequency hopping:</w:t>
      </w:r>
    </w:p>
    <w:p>
      <w:pPr>
        <w:widowControl w:val="0"/>
        <w:numPr>
          <w:ilvl w:val="0"/>
          <w:numId w:val="8"/>
        </w:numPr>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Cs/>
          <w:i/>
          <w:iCs/>
          <w:kern w:val="2"/>
          <w:sz w:val="20"/>
          <w:szCs w:val="20"/>
        </w:rPr>
        <w:t>Frequency h</w:t>
      </w:r>
      <w:r>
        <w:rPr>
          <w:rFonts w:ascii="Times New Roman" w:hAnsi="Times New Roman" w:eastAsia="宋体"/>
          <w:bCs/>
          <w:i/>
          <w:iCs/>
          <w:kern w:val="2"/>
          <w:sz w:val="20"/>
          <w:szCs w:val="20"/>
        </w:rPr>
        <w:t>opping within one resource</w:t>
      </w:r>
    </w:p>
    <w:p>
      <w:pPr>
        <w:widowControl w:val="0"/>
        <w:numPr>
          <w:ilvl w:val="0"/>
          <w:numId w:val="8"/>
        </w:numPr>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Cs/>
          <w:i/>
          <w:iCs/>
          <w:kern w:val="2"/>
          <w:sz w:val="20"/>
          <w:szCs w:val="20"/>
        </w:rPr>
        <w:t>Frequency hopping within one resource set</w:t>
      </w:r>
    </w:p>
    <w:p>
      <w:pPr>
        <w:widowControl w:val="0"/>
        <w:numPr>
          <w:ilvl w:val="0"/>
          <w:numId w:val="8"/>
        </w:numPr>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Cs/>
          <w:i/>
          <w:iCs/>
          <w:kern w:val="2"/>
          <w:sz w:val="20"/>
          <w:szCs w:val="20"/>
        </w:rPr>
        <w:t>Frequency hopping between different CCs/BWPs/PFLs/resource sets</w:t>
      </w:r>
      <w:r>
        <w:rPr>
          <w:rFonts w:ascii="Times New Roman" w:hAnsi="Times New Roman" w:eastAsia="宋体"/>
          <w:bCs/>
          <w:i/>
          <w:iCs/>
          <w:kern w:val="2"/>
          <w:sz w:val="20"/>
          <w:szCs w:val="20"/>
        </w:rPr>
        <w:t xml:space="preserve"> </w:t>
      </w:r>
    </w:p>
    <w:p>
      <w:pPr>
        <w:widowControl w:val="0"/>
        <w:snapToGrid w:val="0"/>
        <w:spacing w:before="180" w:beforeLines="50" w:after="180" w:afterLines="50" w:line="240" w:lineRule="auto"/>
        <w:rPr>
          <w:rFonts w:ascii="Times New Roman" w:hAnsi="Times New Roman"/>
          <w:sz w:val="20"/>
          <w:szCs w:val="20"/>
        </w:rPr>
      </w:pPr>
    </w:p>
    <w:p>
      <w:pPr>
        <w:widowControl w:val="0"/>
        <w:snapToGrid w:val="0"/>
        <w:spacing w:before="180" w:beforeLines="50" w:after="180" w:afterLines="50" w:line="240" w:lineRule="auto"/>
        <w:ind w:left="142"/>
        <w:jc w:val="both"/>
        <w:outlineLvl w:val="2"/>
        <w:rPr>
          <w:rFonts w:ascii="Times New Roman" w:hAnsi="Times New Roman" w:eastAsia="宋体"/>
          <w:b/>
          <w:bCs/>
          <w:kern w:val="2"/>
          <w:sz w:val="20"/>
          <w:szCs w:val="20"/>
        </w:rPr>
      </w:pPr>
      <w:r>
        <w:rPr>
          <w:rFonts w:ascii="Times New Roman" w:hAnsi="Times New Roman" w:eastAsia="宋体"/>
          <w:b/>
          <w:bCs/>
          <w:kern w:val="2"/>
          <w:sz w:val="20"/>
          <w:szCs w:val="20"/>
        </w:rPr>
        <w:t>2</w:t>
      </w:r>
      <w:r>
        <w:rPr>
          <w:rFonts w:hint="eastAsia" w:ascii="Times New Roman" w:hAnsi="Times New Roman" w:eastAsia="宋体"/>
          <w:b/>
          <w:bCs/>
          <w:kern w:val="2"/>
          <w:sz w:val="20"/>
          <w:szCs w:val="20"/>
        </w:rPr>
        <w:t>.</w:t>
      </w:r>
      <w:r>
        <w:rPr>
          <w:rFonts w:ascii="Times New Roman" w:hAnsi="Times New Roman" w:eastAsia="宋体"/>
          <w:b/>
          <w:bCs/>
          <w:kern w:val="2"/>
          <w:sz w:val="20"/>
          <w:szCs w:val="20"/>
        </w:rPr>
        <w:t>1</w:t>
      </w:r>
      <w:r>
        <w:rPr>
          <w:rFonts w:hint="eastAsia" w:ascii="Times New Roman" w:hAnsi="Times New Roman" w:eastAsia="宋体"/>
          <w:b/>
          <w:bCs/>
          <w:kern w:val="2"/>
          <w:sz w:val="20"/>
          <w:szCs w:val="20"/>
        </w:rPr>
        <w:t>.</w:t>
      </w:r>
      <w:r>
        <w:rPr>
          <w:rFonts w:ascii="Times New Roman" w:hAnsi="Times New Roman" w:eastAsia="宋体"/>
          <w:b/>
          <w:bCs/>
          <w:kern w:val="2"/>
          <w:sz w:val="20"/>
          <w:szCs w:val="20"/>
        </w:rPr>
        <w:t>2</w:t>
      </w:r>
      <w:r>
        <w:rPr>
          <w:rFonts w:hint="eastAsia" w:ascii="Times New Roman" w:hAnsi="Times New Roman" w:eastAsia="宋体"/>
          <w:b/>
          <w:bCs/>
          <w:kern w:val="2"/>
          <w:sz w:val="20"/>
          <w:szCs w:val="20"/>
        </w:rPr>
        <w:t xml:space="preserve"> </w:t>
      </w:r>
      <w:r>
        <w:rPr>
          <w:rFonts w:ascii="Times New Roman" w:hAnsi="Times New Roman" w:eastAsia="宋体"/>
          <w:b/>
          <w:bCs/>
          <w:kern w:val="2"/>
          <w:sz w:val="20"/>
          <w:szCs w:val="20"/>
        </w:rPr>
        <w:t>Frequency overlapping between two frequency hops</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Timing error or random phase rotation between two frequency hops may be caused by UE RF re-tuning. This kind of timing error or phase rotation is usually symbol basis. For instance, as shown in Figure 2.1-5, compared with symbol #0 and #1, there may be a phase rotation added in the channel response in symbol #2 and #3. The phase rotation is basically constant across all REs or subcarriers within single symbol. </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One enhanced solution is to introduce predefined or configured overlapping frequency resources in adjacent frequency hops, then, phase between each hop can be correctly adjusted and the concatenated signal can be treated as a signal with extended bandwidth. </w:t>
      </w:r>
    </w:p>
    <w:p>
      <w:pPr>
        <w:widowControl w:val="0"/>
        <w:snapToGrid w:val="0"/>
        <w:spacing w:before="180" w:beforeLines="50" w:after="180" w:afterLines="50" w:line="240" w:lineRule="auto"/>
        <w:rPr>
          <w:rFonts w:ascii="Times New Roman" w:hAnsi="Times New Roman"/>
          <w:sz w:val="20"/>
          <w:szCs w:val="20"/>
        </w:rPr>
      </w:pPr>
      <w:r>
        <w:rPr>
          <w:rFonts w:hint="eastAsia" w:ascii="Times New Roman" w:hAnsi="Times New Roman" w:eastAsia="宋体"/>
          <w:b/>
          <w:bCs/>
          <w:i/>
          <w:iCs/>
          <w:kern w:val="2"/>
          <w:sz w:val="20"/>
          <w:szCs w:val="20"/>
        </w:rPr>
        <w:t xml:space="preserve">Proposal </w:t>
      </w:r>
      <w:r>
        <w:rPr>
          <w:rFonts w:ascii="Times New Roman" w:hAnsi="Times New Roman" w:eastAsia="宋体"/>
          <w:b/>
          <w:bCs/>
          <w:i/>
          <w:iCs/>
          <w:kern w:val="2"/>
          <w:sz w:val="20"/>
          <w:szCs w:val="20"/>
        </w:rPr>
        <w:t>2</w:t>
      </w:r>
      <w:r>
        <w:rPr>
          <w:rFonts w:hint="eastAsia" w:ascii="Times New Roman" w:hAnsi="Times New Roman" w:eastAsia="宋体"/>
          <w:b/>
          <w:bCs/>
          <w:i/>
          <w:iCs/>
          <w:kern w:val="2"/>
          <w:sz w:val="20"/>
          <w:szCs w:val="20"/>
        </w:rPr>
        <w:t xml:space="preserve">: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positioning</w:t>
      </w:r>
      <w:r>
        <w:rPr>
          <w:rFonts w:hint="eastAsia" w:ascii="Times New Roman" w:hAnsi="Times New Roman" w:eastAsia="宋体"/>
          <w:bCs/>
          <w:i/>
          <w:iCs/>
          <w:kern w:val="2"/>
          <w:sz w:val="20"/>
          <w:szCs w:val="20"/>
        </w:rPr>
        <w:t xml:space="preserve"> RS, </w:t>
      </w:r>
      <w:r>
        <w:rPr>
          <w:rFonts w:ascii="Times New Roman" w:hAnsi="Times New Roman" w:eastAsia="宋体"/>
          <w:bCs/>
          <w:i/>
          <w:iCs/>
          <w:kern w:val="2"/>
          <w:sz w:val="20"/>
          <w:szCs w:val="20"/>
        </w:rPr>
        <w:t xml:space="preserve">introduce </w:t>
      </w:r>
      <w:r>
        <w:rPr>
          <w:rFonts w:hint="eastAsia" w:ascii="Times New Roman" w:hAnsi="Times New Roman" w:eastAsia="宋体"/>
          <w:bCs/>
          <w:i/>
          <w:iCs/>
          <w:kern w:val="2"/>
          <w:sz w:val="20"/>
          <w:szCs w:val="20"/>
        </w:rPr>
        <w:t xml:space="preserve">partial </w:t>
      </w:r>
      <w:r>
        <w:rPr>
          <w:rFonts w:ascii="Times New Roman" w:hAnsi="Times New Roman" w:eastAsia="宋体"/>
          <w:bCs/>
          <w:i/>
          <w:iCs/>
          <w:kern w:val="2"/>
          <w:sz w:val="20"/>
          <w:szCs w:val="20"/>
        </w:rPr>
        <w:t xml:space="preserve">overlapping </w:t>
      </w:r>
      <w:r>
        <w:rPr>
          <w:rFonts w:hint="eastAsia" w:ascii="Times New Roman" w:hAnsi="Times New Roman" w:eastAsia="宋体"/>
          <w:bCs/>
          <w:i/>
          <w:iCs/>
          <w:kern w:val="2"/>
          <w:sz w:val="20"/>
          <w:szCs w:val="20"/>
        </w:rPr>
        <w:t xml:space="preserve">in </w:t>
      </w:r>
      <w:r>
        <w:rPr>
          <w:rFonts w:ascii="Times New Roman" w:hAnsi="Times New Roman" w:eastAsia="宋体"/>
          <w:bCs/>
          <w:i/>
          <w:iCs/>
          <w:kern w:val="2"/>
          <w:sz w:val="20"/>
          <w:szCs w:val="20"/>
        </w:rPr>
        <w:t xml:space="preserve">frequency </w:t>
      </w:r>
      <w:r>
        <w:rPr>
          <w:rFonts w:hint="eastAsia" w:ascii="Times New Roman" w:hAnsi="Times New Roman" w:eastAsia="宋体"/>
          <w:bCs/>
          <w:i/>
          <w:iCs/>
          <w:kern w:val="2"/>
          <w:sz w:val="20"/>
          <w:szCs w:val="20"/>
        </w:rPr>
        <w:t>for</w:t>
      </w:r>
      <w:r>
        <w:rPr>
          <w:rFonts w:ascii="Times New Roman" w:hAnsi="Times New Roman" w:eastAsia="宋体"/>
          <w:bCs/>
          <w:i/>
          <w:iCs/>
          <w:kern w:val="2"/>
          <w:sz w:val="20"/>
          <w:szCs w:val="20"/>
        </w:rPr>
        <w:t xml:space="preserve"> adjacent hops.</w:t>
      </w:r>
    </w:p>
    <w:p>
      <w:pPr>
        <w:pStyle w:val="49"/>
        <w:snapToGrid w:val="0"/>
        <w:spacing w:before="180" w:beforeLines="50" w:after="180" w:afterLines="50"/>
        <w:ind w:firstLine="0" w:firstLineChars="0"/>
        <w:jc w:val="center"/>
      </w:pPr>
      <w:r>
        <mc:AlternateContent>
          <mc:Choice Requires="wps">
            <w:drawing>
              <wp:anchor distT="0" distB="0" distL="114300" distR="114300" simplePos="0" relativeHeight="251659264" behindDoc="0" locked="0" layoutInCell="1" allowOverlap="1">
                <wp:simplePos x="0" y="0"/>
                <wp:positionH relativeFrom="column">
                  <wp:posOffset>3609340</wp:posOffset>
                </wp:positionH>
                <wp:positionV relativeFrom="paragraph">
                  <wp:posOffset>739775</wp:posOffset>
                </wp:positionV>
                <wp:extent cx="525145" cy="295910"/>
                <wp:effectExtent l="0" t="0" r="8255" b="9525"/>
                <wp:wrapNone/>
                <wp:docPr id="4" name="文本框 4"/>
                <wp:cNvGraphicFramePr/>
                <a:graphic xmlns:a="http://schemas.openxmlformats.org/drawingml/2006/main">
                  <a:graphicData uri="http://schemas.microsoft.com/office/word/2010/wordprocessingShape">
                    <wps:wsp>
                      <wps:cNvSpPr txBox="1"/>
                      <wps:spPr>
                        <a:xfrm>
                          <a:off x="0" y="0"/>
                          <a:ext cx="525351" cy="295668"/>
                        </a:xfrm>
                        <a:prstGeom prst="rect">
                          <a:avLst/>
                        </a:prstGeom>
                        <a:solidFill>
                          <a:schemeClr val="lt1"/>
                        </a:solidFill>
                        <a:ln w="6350">
                          <a:noFill/>
                        </a:ln>
                      </wps:spPr>
                      <wps:txbx>
                        <w:txbxContent>
                          <w:p>
                            <w:pPr>
                              <w:spacing w:after="0" w:line="240" w:lineRule="auto"/>
                              <w:rPr>
                                <w:rFonts w:ascii="Times New Roman" w:hAnsi="Times New Roman"/>
                                <w:sz w:val="16"/>
                              </w:rPr>
                            </w:pPr>
                            <w:r>
                              <w:rPr>
                                <w:rFonts w:ascii="Times New Roman" w:hAnsi="Times New Roman"/>
                                <w:sz w:val="16"/>
                              </w:rPr>
                              <w:t>K PRBs</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84.2pt;margin-top:58.25pt;height:23.3pt;width:41.35pt;z-index:251659264;mso-width-relative:page;mso-height-relative:page;" fillcolor="#FFFFFF [3201]" filled="t" stroked="f" coordsize="21600,21600" o:gfxdata="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qBBFcdYAAAALAQAADwAAAAAAAAABACAAAAAiAAAAZHJzL2Rvd25yZXYueG1s&#10;UEsBAhQAFAAAAAgAh07iQAedErczAgAAQAQAAA4AAAAAAAAAAQAgAAAAJQEAAGRycy9lMm9Eb2Mu&#10;eG1sUEsFBgAAAAAGAAYAWQEAAMoFAAAAAA==&#10;">
                <v:fill on="t" focussize="0,0"/>
                <v:stroke on="f" weight="0.5pt"/>
                <v:imagedata o:title=""/>
                <o:lock v:ext="edit" aspectratio="f"/>
                <v:textbox>
                  <w:txbxContent>
                    <w:p>
                      <w:pPr>
                        <w:spacing w:after="0" w:line="240" w:lineRule="auto"/>
                        <w:rPr>
                          <w:rFonts w:ascii="Times New Roman" w:hAnsi="Times New Roman"/>
                          <w:sz w:val="16"/>
                        </w:rPr>
                      </w:pPr>
                      <w:r>
                        <w:rPr>
                          <w:rFonts w:ascii="Times New Roman" w:hAnsi="Times New Roman"/>
                          <w:sz w:val="16"/>
                        </w:rPr>
                        <w:t>K PRBs</w:t>
                      </w:r>
                    </w:p>
                  </w:txbxContent>
                </v:textbox>
              </v:shape>
            </w:pict>
          </mc:Fallback>
        </mc:AlternateContent>
      </w:r>
      <w:r>
        <w:drawing>
          <wp:inline distT="0" distB="0" distL="114300" distR="114300">
            <wp:extent cx="1405890" cy="1903730"/>
            <wp:effectExtent l="0" t="0" r="0" b="1270"/>
            <wp:docPr id="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
                    <pic:cNvPicPr>
                      <a:picLocks noChangeAspect="1"/>
                    </pic:cNvPicPr>
                  </pic:nvPicPr>
                  <pic:blipFill>
                    <a:blip r:embed="rId10"/>
                    <a:srcRect r="19863"/>
                    <a:stretch>
                      <a:fillRect/>
                    </a:stretch>
                  </pic:blipFill>
                  <pic:spPr>
                    <a:xfrm>
                      <a:off x="0" y="0"/>
                      <a:ext cx="1419642" cy="1922260"/>
                    </a:xfrm>
                    <a:prstGeom prst="rect">
                      <a:avLst/>
                    </a:prstGeom>
                    <a:noFill/>
                    <a:ln>
                      <a:noFill/>
                    </a:ln>
                  </pic:spPr>
                </pic:pic>
              </a:graphicData>
            </a:graphic>
          </wp:inline>
        </w:drawing>
      </w:r>
    </w:p>
    <w:p>
      <w:pPr>
        <w:pStyle w:val="49"/>
        <w:snapToGrid w:val="0"/>
        <w:spacing w:before="180" w:beforeLines="50" w:after="180" w:afterLines="50"/>
        <w:ind w:firstLine="0" w:firstLineChars="0"/>
        <w:jc w:val="center"/>
      </w:pPr>
      <w:r>
        <w:rPr>
          <w:rFonts w:hint="eastAsia"/>
        </w:rPr>
        <w:t xml:space="preserve">Figure </w:t>
      </w:r>
      <w:r>
        <w:t>2.1-5</w:t>
      </w:r>
      <w:r>
        <w:rPr>
          <w:rFonts w:hint="eastAsia"/>
        </w:rPr>
        <w:t xml:space="preserve"> Frequency hopping with overlapping</w:t>
      </w:r>
    </w:p>
    <w:p>
      <w:pPr>
        <w:widowControl w:val="0"/>
        <w:snapToGrid w:val="0"/>
        <w:spacing w:before="180" w:beforeLines="50" w:after="180" w:afterLines="50" w:line="240" w:lineRule="auto"/>
        <w:ind w:left="142"/>
        <w:jc w:val="both"/>
        <w:outlineLvl w:val="2"/>
        <w:rPr>
          <w:rFonts w:ascii="Times New Roman" w:hAnsi="Times New Roman" w:eastAsia="宋体"/>
          <w:b/>
          <w:bCs/>
          <w:kern w:val="2"/>
          <w:sz w:val="20"/>
          <w:szCs w:val="20"/>
        </w:rPr>
      </w:pPr>
      <w:r>
        <w:rPr>
          <w:rFonts w:ascii="Times New Roman" w:hAnsi="Times New Roman" w:eastAsia="宋体"/>
          <w:b/>
          <w:bCs/>
          <w:kern w:val="2"/>
          <w:sz w:val="20"/>
          <w:szCs w:val="20"/>
        </w:rPr>
        <w:t>2</w:t>
      </w:r>
      <w:r>
        <w:rPr>
          <w:rFonts w:hint="eastAsia" w:ascii="Times New Roman" w:hAnsi="Times New Roman" w:eastAsia="宋体"/>
          <w:b/>
          <w:bCs/>
          <w:kern w:val="2"/>
          <w:sz w:val="20"/>
          <w:szCs w:val="20"/>
        </w:rPr>
        <w:t>.</w:t>
      </w:r>
      <w:r>
        <w:rPr>
          <w:rFonts w:ascii="Times New Roman" w:hAnsi="Times New Roman" w:eastAsia="宋体"/>
          <w:b/>
          <w:bCs/>
          <w:kern w:val="2"/>
          <w:sz w:val="20"/>
          <w:szCs w:val="20"/>
        </w:rPr>
        <w:t>1</w:t>
      </w:r>
      <w:r>
        <w:rPr>
          <w:rFonts w:hint="eastAsia" w:ascii="Times New Roman" w:hAnsi="Times New Roman" w:eastAsia="宋体"/>
          <w:b/>
          <w:bCs/>
          <w:kern w:val="2"/>
          <w:sz w:val="20"/>
          <w:szCs w:val="20"/>
        </w:rPr>
        <w:t>.</w:t>
      </w:r>
      <w:r>
        <w:rPr>
          <w:rFonts w:ascii="Times New Roman" w:hAnsi="Times New Roman" w:eastAsia="宋体"/>
          <w:b/>
          <w:bCs/>
          <w:kern w:val="2"/>
          <w:sz w:val="20"/>
          <w:szCs w:val="20"/>
        </w:rPr>
        <w:t>3</w:t>
      </w:r>
      <w:r>
        <w:rPr>
          <w:rFonts w:hint="eastAsia" w:ascii="Times New Roman" w:hAnsi="Times New Roman" w:eastAsia="宋体"/>
          <w:b/>
          <w:bCs/>
          <w:kern w:val="2"/>
          <w:sz w:val="20"/>
          <w:szCs w:val="20"/>
        </w:rPr>
        <w:t xml:space="preserve"> </w:t>
      </w:r>
      <w:r>
        <w:rPr>
          <w:rFonts w:ascii="Times New Roman" w:hAnsi="Times New Roman" w:eastAsia="宋体"/>
          <w:b/>
          <w:bCs/>
          <w:kern w:val="2"/>
          <w:sz w:val="20"/>
          <w:szCs w:val="20"/>
        </w:rPr>
        <w:t>Switching gap between two frequency hops</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As </w:t>
      </w:r>
      <w:r>
        <w:rPr>
          <w:rFonts w:hint="eastAsia" w:ascii="Times New Roman" w:hAnsi="Times New Roman"/>
          <w:sz w:val="20"/>
          <w:szCs w:val="20"/>
        </w:rPr>
        <w:t xml:space="preserve">Rel-17 </w:t>
      </w:r>
      <w:r>
        <w:rPr>
          <w:rFonts w:ascii="Times New Roman" w:hAnsi="Times New Roman"/>
          <w:sz w:val="20"/>
          <w:szCs w:val="20"/>
        </w:rPr>
        <w:t xml:space="preserve">RedCap UE only supports maximum 20/100 MHz bandwidth in FR1/FR2 respectively, UE has to operate RF re-tuning between two frequency hops. UE may need some switching gap between two frequency hops because of extra complexity from RF re-tuning. </w:t>
      </w:r>
    </w:p>
    <w:p>
      <w:pPr>
        <w:widowControl w:val="0"/>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b/>
          <w:bCs/>
          <w:i/>
          <w:iCs/>
          <w:kern w:val="2"/>
          <w:sz w:val="20"/>
          <w:szCs w:val="20"/>
        </w:rPr>
        <w:t xml:space="preserve">Proposal </w:t>
      </w:r>
      <w:r>
        <w:rPr>
          <w:rFonts w:ascii="Times New Roman" w:hAnsi="Times New Roman" w:eastAsia="宋体"/>
          <w:b/>
          <w:bCs/>
          <w:i/>
          <w:iCs/>
          <w:kern w:val="2"/>
          <w:sz w:val="20"/>
          <w:szCs w:val="20"/>
        </w:rPr>
        <w:t>3</w:t>
      </w:r>
      <w:r>
        <w:rPr>
          <w:rFonts w:hint="eastAsia" w:ascii="Times New Roman" w:hAnsi="Times New Roman" w:eastAsia="宋体"/>
          <w:b/>
          <w:bCs/>
          <w:i/>
          <w:iCs/>
          <w:kern w:val="2"/>
          <w:sz w:val="20"/>
          <w:szCs w:val="20"/>
        </w:rPr>
        <w:t xml:space="preserve">: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positioning</w:t>
      </w:r>
      <w:r>
        <w:rPr>
          <w:rFonts w:hint="eastAsia" w:ascii="Times New Roman" w:hAnsi="Times New Roman" w:eastAsia="宋体"/>
          <w:bCs/>
          <w:i/>
          <w:iCs/>
          <w:kern w:val="2"/>
          <w:sz w:val="20"/>
          <w:szCs w:val="20"/>
        </w:rPr>
        <w:t xml:space="preserve">, further </w:t>
      </w:r>
      <w:r>
        <w:rPr>
          <w:rFonts w:ascii="Times New Roman" w:hAnsi="Times New Roman" w:eastAsia="宋体"/>
          <w:bCs/>
          <w:i/>
          <w:iCs/>
          <w:kern w:val="2"/>
          <w:sz w:val="20"/>
          <w:szCs w:val="20"/>
        </w:rPr>
        <w:t>introduce switching gap between adjacent frequency hops.</w:t>
      </w:r>
      <w:r>
        <w:rPr>
          <w:rFonts w:hint="eastAsia" w:ascii="Times New Roman" w:hAnsi="Times New Roman" w:eastAsia="宋体"/>
          <w:bCs/>
          <w:i/>
          <w:iCs/>
          <w:kern w:val="2"/>
          <w:sz w:val="20"/>
          <w:szCs w:val="20"/>
        </w:rPr>
        <w:t xml:space="preserve"> FFS the gap values. </w:t>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0" distR="0">
            <wp:extent cx="1042670" cy="1934210"/>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052115" cy="1951118"/>
                    </a:xfrm>
                    <a:prstGeom prst="rect">
                      <a:avLst/>
                    </a:prstGeom>
                    <a:noFill/>
                  </pic:spPr>
                </pic:pic>
              </a:graphicData>
            </a:graphic>
          </wp:inline>
        </w:drawing>
      </w:r>
    </w:p>
    <w:p>
      <w:pPr>
        <w:pStyle w:val="49"/>
        <w:snapToGrid w:val="0"/>
        <w:spacing w:before="180" w:beforeLines="50" w:after="180" w:afterLines="50"/>
        <w:ind w:firstLine="0" w:firstLineChars="0"/>
        <w:jc w:val="center"/>
      </w:pPr>
      <w:r>
        <w:rPr>
          <w:rFonts w:hint="eastAsia"/>
        </w:rPr>
        <w:t xml:space="preserve">Figure </w:t>
      </w:r>
      <w:r>
        <w:t>2.1-</w:t>
      </w:r>
      <w:r>
        <w:rPr>
          <w:rFonts w:hint="eastAsia"/>
        </w:rPr>
        <w:t>6 Frequency hopping with time gap</w:t>
      </w:r>
    </w:p>
    <w:p>
      <w:pPr>
        <w:widowControl w:val="0"/>
        <w:snapToGrid w:val="0"/>
        <w:spacing w:before="180" w:beforeLines="50" w:after="180" w:afterLines="50" w:line="240" w:lineRule="auto"/>
        <w:rPr>
          <w:rFonts w:ascii="Times New Roman" w:hAnsi="Times New Roman"/>
          <w:sz w:val="20"/>
          <w:szCs w:val="20"/>
        </w:rPr>
      </w:pPr>
    </w:p>
    <w:bookmarkEnd w:id="5"/>
    <w:p>
      <w:pPr>
        <w:pStyle w:val="2"/>
        <w:snapToGrid w:val="0"/>
        <w:spacing w:before="120" w:after="180" w:afterLines="50"/>
        <w:ind w:left="431" w:hanging="431"/>
        <w:jc w:val="both"/>
        <w:rPr>
          <w:sz w:val="28"/>
          <w:lang w:val="en-US"/>
        </w:rPr>
      </w:pPr>
      <w:r>
        <w:rPr>
          <w:sz w:val="28"/>
          <w:lang w:val="en-US"/>
        </w:rPr>
        <w:t xml:space="preserve">Evaluation Results of RedCap UEs Positioning for TR 38.859 Section </w:t>
      </w:r>
      <w:r>
        <w:rPr>
          <w:rFonts w:hint="eastAsia"/>
          <w:sz w:val="28"/>
          <w:lang w:val="en-US"/>
        </w:rPr>
        <w:t>B</w:t>
      </w:r>
      <w:r>
        <w:rPr>
          <w:sz w:val="28"/>
          <w:lang w:val="en-US"/>
        </w:rPr>
        <w:t>.6</w:t>
      </w:r>
    </w:p>
    <w:p>
      <w:pPr>
        <w:pStyle w:val="3"/>
        <w:snapToGrid w:val="0"/>
        <w:spacing w:line="240" w:lineRule="auto"/>
        <w:rPr>
          <w:rFonts w:ascii="Arial" w:hAnsi="Arial" w:cs="Arial"/>
          <w:b/>
          <w:sz w:val="24"/>
          <w:szCs w:val="24"/>
        </w:rPr>
      </w:pPr>
      <w:r>
        <w:rPr>
          <w:rFonts w:ascii="Arial" w:hAnsi="Arial" w:cs="Arial"/>
          <w:b/>
          <w:sz w:val="24"/>
          <w:szCs w:val="24"/>
        </w:rPr>
        <w:t>3.1 Description of evaluation scenarios</w:t>
      </w:r>
    </w:p>
    <w:p>
      <w:pPr>
        <w:snapToGrid w:val="0"/>
        <w:spacing w:after="180" w:afterLines="50" w:line="240" w:lineRule="auto"/>
        <w:jc w:val="both"/>
        <w:rPr>
          <w:rFonts w:ascii="Times New Roman" w:hAnsi="Times New Roman" w:eastAsia="宋体"/>
          <w:kern w:val="2"/>
          <w:sz w:val="20"/>
          <w:szCs w:val="20"/>
        </w:rPr>
      </w:pPr>
      <w:r>
        <w:rPr>
          <w:rFonts w:hint="eastAsia" w:ascii="Times New Roman" w:hAnsi="Times New Roman" w:eastAsia="宋体"/>
          <w:kern w:val="2"/>
          <w:sz w:val="20"/>
          <w:szCs w:val="20"/>
        </w:rPr>
        <w:t xml:space="preserve">Based on the agreements in RAN1#109e and RAN1#110 meeting, </w:t>
      </w:r>
      <w:r>
        <w:rPr>
          <w:rFonts w:ascii="Times New Roman" w:hAnsi="Times New Roman" w:eastAsia="宋体"/>
          <w:kern w:val="2"/>
          <w:sz w:val="20"/>
          <w:szCs w:val="20"/>
        </w:rPr>
        <w:t>R</w:t>
      </w:r>
      <w:r>
        <w:rPr>
          <w:rFonts w:hint="eastAsia" w:ascii="Times New Roman" w:hAnsi="Times New Roman" w:eastAsia="宋体"/>
          <w:kern w:val="2"/>
          <w:sz w:val="20"/>
          <w:szCs w:val="20"/>
        </w:rPr>
        <w:t>edCap</w:t>
      </w:r>
      <w:r>
        <w:rPr>
          <w:rFonts w:ascii="Times New Roman" w:hAnsi="Times New Roman" w:eastAsia="宋体"/>
          <w:kern w:val="2"/>
          <w:sz w:val="20"/>
          <w:szCs w:val="20"/>
        </w:rPr>
        <w:t xml:space="preserve"> UE </w:t>
      </w:r>
      <w:r>
        <w:rPr>
          <w:rFonts w:hint="eastAsia" w:ascii="Times New Roman" w:hAnsi="Times New Roman" w:eastAsia="宋体"/>
          <w:kern w:val="2"/>
          <w:sz w:val="20"/>
          <w:szCs w:val="20"/>
        </w:rPr>
        <w:t xml:space="preserve">positioning </w:t>
      </w:r>
      <w:r>
        <w:rPr>
          <w:rFonts w:ascii="Times New Roman" w:hAnsi="Times New Roman" w:eastAsia="宋体"/>
          <w:kern w:val="2"/>
          <w:sz w:val="20"/>
          <w:szCs w:val="20"/>
        </w:rPr>
        <w:t>should be</w:t>
      </w:r>
      <w:r>
        <w:rPr>
          <w:rFonts w:hint="eastAsia" w:ascii="Times New Roman" w:hAnsi="Times New Roman" w:eastAsia="宋体"/>
          <w:kern w:val="2"/>
          <w:sz w:val="20"/>
          <w:szCs w:val="20"/>
        </w:rPr>
        <w:t xml:space="preserve"> evaluated in IIOT use case</w:t>
      </w:r>
      <w:r>
        <w:rPr>
          <w:rFonts w:ascii="Times New Roman" w:hAnsi="Times New Roman" w:eastAsia="宋体"/>
          <w:kern w:val="2"/>
          <w:sz w:val="20"/>
          <w:szCs w:val="20"/>
        </w:rPr>
        <w:t xml:space="preserve"> </w:t>
      </w:r>
      <w:r>
        <w:rPr>
          <w:rFonts w:hint="eastAsia" w:ascii="Times New Roman" w:hAnsi="Times New Roman" w:eastAsia="宋体"/>
          <w:kern w:val="2"/>
          <w:sz w:val="20"/>
          <w:szCs w:val="20"/>
        </w:rPr>
        <w:t>and commercial use case.</w:t>
      </w:r>
      <w:r>
        <w:rPr>
          <w:rFonts w:ascii="Times New Roman" w:hAnsi="Times New Roman" w:eastAsia="宋体"/>
          <w:kern w:val="2"/>
          <w:sz w:val="20"/>
          <w:szCs w:val="20"/>
        </w:rPr>
        <w:t xml:space="preserve"> </w:t>
      </w:r>
      <w:r>
        <w:rPr>
          <w:rFonts w:hint="eastAsia" w:ascii="Times New Roman" w:hAnsi="Times New Roman" w:eastAsia="宋体"/>
          <w:kern w:val="2"/>
          <w:sz w:val="20"/>
          <w:szCs w:val="20"/>
        </w:rPr>
        <w:t>T</w:t>
      </w:r>
      <w:r>
        <w:rPr>
          <w:rFonts w:ascii="Times New Roman" w:hAnsi="Times New Roman" w:eastAsia="宋体"/>
          <w:kern w:val="2"/>
          <w:sz w:val="20"/>
          <w:szCs w:val="20"/>
        </w:rPr>
        <w:t xml:space="preserve">he corresponding evaluation </w:t>
      </w:r>
      <w:r>
        <w:rPr>
          <w:rFonts w:hint="eastAsia" w:ascii="Times New Roman" w:hAnsi="Times New Roman" w:eastAsia="宋体"/>
          <w:kern w:val="2"/>
          <w:sz w:val="20"/>
          <w:szCs w:val="20"/>
        </w:rPr>
        <w:t>m</w:t>
      </w:r>
      <w:r>
        <w:rPr>
          <w:rFonts w:ascii="Times New Roman" w:hAnsi="Times New Roman" w:eastAsia="宋体"/>
          <w:kern w:val="2"/>
          <w:sz w:val="20"/>
          <w:szCs w:val="20"/>
        </w:rPr>
        <w:t>ethodology</w:t>
      </w:r>
      <w:r>
        <w:rPr>
          <w:rFonts w:hint="eastAsia" w:ascii="Times New Roman" w:hAnsi="Times New Roman" w:eastAsia="宋体"/>
          <w:kern w:val="2"/>
          <w:sz w:val="20"/>
          <w:szCs w:val="20"/>
        </w:rPr>
        <w:t xml:space="preserve"> </w:t>
      </w:r>
      <w:r>
        <w:rPr>
          <w:rFonts w:ascii="Times New Roman" w:hAnsi="Times New Roman" w:eastAsia="宋体"/>
          <w:kern w:val="2"/>
          <w:sz w:val="20"/>
          <w:szCs w:val="20"/>
        </w:rPr>
        <w:t xml:space="preserve">is agreed and captured in TR 38.859 [3]. </w:t>
      </w:r>
      <w:r>
        <w:rPr>
          <w:rFonts w:hint="eastAsia" w:ascii="Times New Roman" w:hAnsi="Times New Roman" w:eastAsia="宋体"/>
          <w:kern w:val="2"/>
          <w:sz w:val="20"/>
          <w:szCs w:val="20"/>
        </w:rPr>
        <w:t>IIOT use case with indoor factory scenario defined in TR 38.857 [</w:t>
      </w:r>
      <w:r>
        <w:rPr>
          <w:rFonts w:ascii="Times New Roman" w:hAnsi="Times New Roman" w:eastAsia="宋体"/>
          <w:kern w:val="2"/>
          <w:sz w:val="20"/>
          <w:szCs w:val="20"/>
        </w:rPr>
        <w:t>4</w:t>
      </w:r>
      <w:r>
        <w:rPr>
          <w:rFonts w:hint="eastAsia" w:ascii="Times New Roman" w:hAnsi="Times New Roman" w:eastAsia="宋体"/>
          <w:kern w:val="2"/>
          <w:sz w:val="20"/>
          <w:szCs w:val="20"/>
        </w:rPr>
        <w:t>] is used to evaluate. As a typical scenario of InF, InF-SH is evaluated in this contribution.</w:t>
      </w:r>
    </w:p>
    <w:p>
      <w:pPr>
        <w:snapToGrid w:val="0"/>
        <w:spacing w:after="180" w:afterLines="50" w:line="240" w:lineRule="auto"/>
        <w:rPr>
          <w:rFonts w:ascii="Times New Roman" w:hAnsi="Times New Roman"/>
          <w:sz w:val="20"/>
          <w:szCs w:val="20"/>
        </w:rPr>
      </w:pPr>
      <w:r>
        <w:rPr>
          <w:rFonts w:ascii="Times New Roman" w:hAnsi="Times New Roman"/>
          <w:sz w:val="20"/>
          <w:szCs w:val="20"/>
        </w:rPr>
        <w:t>Evaluation assumptions for system level analysis are provided in Table 3.1-1 to Table 3.1-5.</w:t>
      </w:r>
    </w:p>
    <w:p>
      <w:pPr>
        <w:snapToGrid w:val="0"/>
        <w:spacing w:after="180" w:afterLines="50" w:line="240" w:lineRule="auto"/>
        <w:jc w:val="center"/>
        <w:rPr>
          <w:rFonts w:ascii="Times New Roman" w:hAnsi="Times New Roman"/>
          <w:sz w:val="20"/>
          <w:szCs w:val="20"/>
        </w:rPr>
      </w:pPr>
      <w:r>
        <w:rPr>
          <w:rFonts w:ascii="Times New Roman" w:hAnsi="Times New Roman"/>
          <w:sz w:val="20"/>
          <w:szCs w:val="20"/>
        </w:rPr>
        <w:t>Table 3.1-1: NR RedCap UE positioning - evaluation scenarios and parameters for FR1 InF-SH (</w:t>
      </w:r>
      <w:r>
        <w:rPr>
          <w:rFonts w:hint="eastAsia" w:ascii="Times New Roman" w:hAnsi="Times New Roman"/>
          <w:sz w:val="20"/>
          <w:szCs w:val="20"/>
        </w:rPr>
        <w:t>for c</w:t>
      </w:r>
      <w:r>
        <w:rPr>
          <w:rFonts w:ascii="Times New Roman" w:hAnsi="Times New Roman"/>
          <w:sz w:val="20"/>
          <w:szCs w:val="20"/>
        </w:rPr>
        <w:t>omparing frequency hopping performance)</w:t>
      </w:r>
    </w:p>
    <w:tbl>
      <w:tblPr>
        <w:tblStyle w:val="23"/>
        <w:tblW w:w="11167"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067"/>
        <w:gridCol w:w="1417"/>
        <w:gridCol w:w="1305"/>
        <w:gridCol w:w="1275"/>
        <w:gridCol w:w="1276"/>
        <w:gridCol w:w="1276"/>
        <w:gridCol w:w="1276"/>
        <w:gridCol w:w="127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1"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Parameter</w:t>
            </w:r>
          </w:p>
        </w:tc>
        <w:tc>
          <w:tcPr>
            <w:tcW w:w="141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 xml:space="preserve">Case </w:t>
            </w:r>
            <w:r>
              <w:rPr>
                <w:rFonts w:hint="eastAsia" w:ascii="Times New Roman" w:hAnsi="Times New Roman"/>
                <w:b/>
                <w:sz w:val="20"/>
                <w:szCs w:val="20"/>
              </w:rPr>
              <w:t>1</w:t>
            </w:r>
            <w:r>
              <w:rPr>
                <w:rFonts w:ascii="Times New Roman" w:hAnsi="Times New Roman"/>
                <w:b/>
                <w:sz w:val="20"/>
                <w:szCs w:val="20"/>
              </w:rPr>
              <w:t xml:space="preserve"> (InF-SH, FR1, 20MHz Only)</w:t>
            </w:r>
          </w:p>
        </w:tc>
        <w:tc>
          <w:tcPr>
            <w:tcW w:w="1305"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 (InF-SH, FR1, 3x20 MHz, without Φ adjustment)</w:t>
            </w:r>
          </w:p>
        </w:tc>
        <w:tc>
          <w:tcPr>
            <w:tcW w:w="1275"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3 (InF-SH, FR1, 3x20 MHz, with Φ adjustment)</w:t>
            </w:r>
          </w:p>
        </w:tc>
        <w:tc>
          <w:tcPr>
            <w:tcW w:w="1276"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4 (InF-SH, FR1, Full 60MHz</w:t>
            </w:r>
          </w:p>
        </w:tc>
        <w:tc>
          <w:tcPr>
            <w:tcW w:w="1276"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5 (InF-SH, FR1, 5x20 MHz, without Φ adjustment)</w:t>
            </w:r>
          </w:p>
        </w:tc>
        <w:tc>
          <w:tcPr>
            <w:tcW w:w="1276"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6 (InF-SH, FR1, 5x20 MHz, with Φ adjustment)</w:t>
            </w:r>
          </w:p>
        </w:tc>
        <w:tc>
          <w:tcPr>
            <w:tcW w:w="1275"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7 (InF-SH, FR1, Full 100MHz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Scenario (baseline, otherwise state any modifications)</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F-SH</w:t>
            </w:r>
          </w:p>
          <w:p>
            <w:pPr>
              <w:snapToGrid w:val="0"/>
              <w:spacing w:after="0" w:line="240" w:lineRule="auto"/>
              <w:jc w:val="center"/>
              <w:rPr>
                <w:rFonts w:ascii="Times New Roman" w:hAnsi="Times New Roman"/>
                <w:sz w:val="20"/>
                <w:szCs w:val="20"/>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Carrier frequency</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3</w:t>
            </w:r>
            <w:r>
              <w:rPr>
                <w:rFonts w:ascii="Times New Roman" w:hAnsi="Times New Roman"/>
                <w:sz w:val="20"/>
                <w:szCs w:val="20"/>
              </w:rPr>
              <w:t>.5GHz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Subcarrier spacing</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3</w:t>
            </w:r>
            <w:r>
              <w:rPr>
                <w:rFonts w:ascii="Times New Roman" w:hAnsi="Times New Roman"/>
                <w:sz w:val="20"/>
                <w:szCs w:val="20"/>
              </w:rPr>
              <w:t>0kHz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Transmission Bandwidth</w:t>
            </w:r>
          </w:p>
        </w:tc>
        <w:tc>
          <w:tcPr>
            <w:tcW w:w="141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20MHz</w:t>
            </w:r>
          </w:p>
        </w:tc>
        <w:tc>
          <w:tcPr>
            <w:tcW w:w="2580" w:type="dxa"/>
            <w:gridSpan w:val="2"/>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3x20MHz</w:t>
            </w:r>
          </w:p>
        </w:tc>
        <w:tc>
          <w:tcPr>
            <w:tcW w:w="1276"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60MHz</w:t>
            </w:r>
          </w:p>
        </w:tc>
        <w:tc>
          <w:tcPr>
            <w:tcW w:w="2552" w:type="dxa"/>
            <w:gridSpan w:val="2"/>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5x20MHz</w:t>
            </w:r>
          </w:p>
        </w:tc>
        <w:tc>
          <w:tcPr>
            <w:tcW w:w="1275"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100MHz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Physical Structure and Resource Allocation (RE pattern) (reference to figure in contribution)</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CombSize=2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w:t>
            </w:r>
          </w:p>
          <w:p>
            <w:pPr>
              <w:snapToGrid w:val="0"/>
              <w:spacing w:after="0" w:line="240" w:lineRule="auto"/>
              <w:rPr>
                <w:rFonts w:ascii="Times New Roman" w:hAnsi="Times New Roman"/>
                <w:sz w:val="20"/>
                <w:szCs w:val="20"/>
              </w:rPr>
            </w:pPr>
            <w:r>
              <w:rPr>
                <w:rFonts w:ascii="Times New Roman" w:hAnsi="Times New Roman"/>
                <w:sz w:val="20"/>
                <w:szCs w:val="20"/>
              </w:rPr>
              <w:t>(type of sequence, number of ports, …)</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DL PRS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sites</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symbols used per occasion</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occasions used per positioning estimate</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139"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Power-boosting level</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Uplink power control (applied/not applied)</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interference modelling (ideal muting, or other)</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Measurement Algorithm (e.g., super resolution, interference cancellation, ….)</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M</w:t>
            </w:r>
            <w:r>
              <w:rPr>
                <w:rFonts w:ascii="Times New Roman" w:hAnsi="Times New Roman"/>
                <w:sz w:val="20"/>
                <w:szCs w:val="20"/>
              </w:rPr>
              <w:t>USIC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positioning technique / applied positioning algorithm (e.g., Least square, Taylor series, etc)</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Least square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Network synchronization assumptions</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180" w:line="240" w:lineRule="auto"/>
              <w:jc w:val="center"/>
              <w:rPr>
                <w:rFonts w:ascii="Times New Roman" w:hAnsi="Times New Roman" w:eastAsia="宋体"/>
                <w:sz w:val="20"/>
                <w:szCs w:val="20"/>
                <w:lang w:val="en-GB" w:eastAsia="en-US"/>
              </w:rPr>
            </w:pPr>
            <w:r>
              <w:rPr>
                <w:rFonts w:hint="eastAsia" w:ascii="Times New Roman" w:hAnsi="Times New Roman" w:eastAsia="宋体"/>
                <w:sz w:val="20"/>
                <w:szCs w:val="20"/>
              </w:rPr>
              <w:t>Perfect synchronization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Beam-related assumption (beam sweeping / alignment assumptions at the tx and rx sides)</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Precoding assumptions (codebook, nrof antenna elements used, etc)</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configuration</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(1, 1, 1, 1, 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UE branches</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1Rx 1Tx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enhancement solutions, if any</w:t>
            </w:r>
          </w:p>
        </w:tc>
        <w:tc>
          <w:tcPr>
            <w:tcW w:w="141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None</w:t>
            </w:r>
          </w:p>
        </w:tc>
        <w:tc>
          <w:tcPr>
            <w:tcW w:w="1305"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 3 hops without phase adjustment;</w:t>
            </w:r>
          </w:p>
          <w:p>
            <w:pPr>
              <w:snapToGrid w:val="0"/>
              <w:spacing w:after="0" w:line="240" w:lineRule="auto"/>
              <w:jc w:val="center"/>
              <w:rPr>
                <w:rFonts w:ascii="Times New Roman" w:hAnsi="Times New Roman"/>
                <w:sz w:val="20"/>
                <w:szCs w:val="20"/>
              </w:rPr>
            </w:pPr>
            <w:r>
              <w:rPr>
                <w:rFonts w:ascii="Times New Roman" w:hAnsi="Times New Roman"/>
                <w:sz w:val="20"/>
                <w:szCs w:val="20"/>
              </w:rPr>
              <w:t>Phase between hops satisfy uniform random, (-π, +π)</w:t>
            </w:r>
          </w:p>
        </w:tc>
        <w:tc>
          <w:tcPr>
            <w:tcW w:w="1275"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 3 hops with phase adjustment; Phase between hops satisfy uniform random, (-π, +π); 4PRB used for practical phase estimation</w:t>
            </w:r>
          </w:p>
        </w:tc>
        <w:tc>
          <w:tcPr>
            <w:tcW w:w="1276"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None</w:t>
            </w:r>
          </w:p>
        </w:tc>
        <w:tc>
          <w:tcPr>
            <w:tcW w:w="1276"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 5 hops without phase adjustment;</w:t>
            </w:r>
          </w:p>
          <w:p>
            <w:pPr>
              <w:snapToGrid w:val="0"/>
              <w:spacing w:after="0" w:line="240" w:lineRule="auto"/>
              <w:jc w:val="center"/>
              <w:rPr>
                <w:rFonts w:ascii="Times New Roman" w:hAnsi="Times New Roman"/>
                <w:sz w:val="20"/>
                <w:szCs w:val="20"/>
              </w:rPr>
            </w:pPr>
            <w:r>
              <w:rPr>
                <w:rFonts w:ascii="Times New Roman" w:hAnsi="Times New Roman"/>
                <w:sz w:val="20"/>
                <w:szCs w:val="20"/>
              </w:rPr>
              <w:t>Phase between hops satisfy uniform random, (-π, +π)</w:t>
            </w:r>
          </w:p>
        </w:tc>
        <w:tc>
          <w:tcPr>
            <w:tcW w:w="1276"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 5 hops with phase adjustment; Phase between hops satisfy uniform random, (-π, +π); 4PRB used for practical phase estimation</w:t>
            </w:r>
          </w:p>
        </w:tc>
        <w:tc>
          <w:tcPr>
            <w:tcW w:w="1275"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None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gNB antenna configuration </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(4, 4, 2, 1, 1), dH=dV=0.5λ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UE noise figure  </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9dB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height</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gNB antenna height</w:t>
            </w:r>
          </w:p>
        </w:tc>
        <w:tc>
          <w:tcPr>
            <w:tcW w:w="9100" w:type="dxa"/>
            <w:gridSpan w:val="7"/>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w:t>
            </w:r>
            <w:r>
              <w:rPr>
                <w:rFonts w:ascii="Times New Roman" w:hAnsi="Times New Roman"/>
                <w:sz w:val="20"/>
                <w:szCs w:val="20"/>
              </w:rPr>
              <w:t>m</w:t>
            </w:r>
          </w:p>
        </w:tc>
      </w:tr>
    </w:tbl>
    <w:p>
      <w:pPr>
        <w:snapToGrid w:val="0"/>
        <w:spacing w:after="180" w:afterLines="50" w:line="240" w:lineRule="auto"/>
        <w:jc w:val="center"/>
        <w:rPr>
          <w:rFonts w:ascii="Times New Roman" w:hAnsi="Times New Roman"/>
          <w:sz w:val="20"/>
        </w:rPr>
      </w:pPr>
    </w:p>
    <w:p>
      <w:pPr>
        <w:snapToGrid w:val="0"/>
        <w:spacing w:after="180" w:afterLines="50" w:line="240" w:lineRule="auto"/>
        <w:jc w:val="center"/>
        <w:rPr>
          <w:rFonts w:ascii="Times New Roman" w:hAnsi="Times New Roman"/>
          <w:sz w:val="20"/>
          <w:szCs w:val="20"/>
        </w:rPr>
      </w:pPr>
      <w:r>
        <w:rPr>
          <w:rFonts w:ascii="Times New Roman" w:hAnsi="Times New Roman"/>
          <w:sz w:val="20"/>
          <w:szCs w:val="20"/>
        </w:rPr>
        <w:t>Table 3.1-</w:t>
      </w:r>
      <w:r>
        <w:rPr>
          <w:rFonts w:hint="eastAsia" w:ascii="Times New Roman" w:hAnsi="Times New Roman"/>
          <w:sz w:val="20"/>
          <w:szCs w:val="20"/>
        </w:rPr>
        <w:t>2</w:t>
      </w:r>
      <w:r>
        <w:rPr>
          <w:rFonts w:ascii="Times New Roman" w:hAnsi="Times New Roman"/>
          <w:sz w:val="20"/>
          <w:szCs w:val="20"/>
        </w:rPr>
        <w:t>: NR RedCap UE positioning - evaluation scenarios and parameters for FR1 InF-SH (I</w:t>
      </w:r>
      <w:r>
        <w:rPr>
          <w:rFonts w:hint="eastAsia" w:ascii="Times New Roman" w:hAnsi="Times New Roman"/>
          <w:sz w:val="20"/>
          <w:szCs w:val="20"/>
        </w:rPr>
        <w:t>mpact</w:t>
      </w:r>
      <w:r>
        <w:rPr>
          <w:rFonts w:ascii="Times New Roman" w:hAnsi="Times New Roman"/>
          <w:sz w:val="20"/>
          <w:szCs w:val="20"/>
        </w:rPr>
        <w:t xml:space="preserve"> of Doppler)</w:t>
      </w:r>
    </w:p>
    <w:tbl>
      <w:tblPr>
        <w:tblStyle w:val="23"/>
        <w:tblW w:w="108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060"/>
        <w:gridCol w:w="1559"/>
        <w:gridCol w:w="1559"/>
        <w:gridCol w:w="1418"/>
        <w:gridCol w:w="1417"/>
        <w:gridCol w:w="1418"/>
        <w:gridCol w:w="144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1"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Parameter</w:t>
            </w:r>
          </w:p>
        </w:tc>
        <w:tc>
          <w:tcPr>
            <w:tcW w:w="1559"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8 (InF-SH, FR1, 5x20 MHz, Doppler 0 Hz)</w:t>
            </w:r>
          </w:p>
        </w:tc>
        <w:tc>
          <w:tcPr>
            <w:tcW w:w="1559"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9 (InF-SH, FR1, 5x20 MHz, Doppler 10 Hz)</w:t>
            </w:r>
          </w:p>
        </w:tc>
        <w:tc>
          <w:tcPr>
            <w:tcW w:w="1418"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10 (InF-SH, FR1, 5x20 MHz, Doppler 100 Hz)</w:t>
            </w:r>
          </w:p>
        </w:tc>
        <w:tc>
          <w:tcPr>
            <w:tcW w:w="1417"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11 (InF-SH, FR1, 5x20 MHz, Doppler 200 Hz)</w:t>
            </w:r>
          </w:p>
        </w:tc>
        <w:tc>
          <w:tcPr>
            <w:tcW w:w="1418"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12 (InF-SH, FR1, 5x20 MHz, Doppler 500 Hz)</w:t>
            </w:r>
          </w:p>
        </w:tc>
        <w:tc>
          <w:tcPr>
            <w:tcW w:w="1449"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13 (InF-SH, FR1, 5x20 MHz, Doppler 1000 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Scenario (baseline, otherwise state any modifications)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F-SH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Carrier frequency</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3</w:t>
            </w:r>
            <w:r>
              <w:rPr>
                <w:rFonts w:ascii="Times New Roman" w:hAnsi="Times New Roman"/>
                <w:sz w:val="20"/>
                <w:szCs w:val="20"/>
              </w:rPr>
              <w:t>.5GHz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Subcarrier spacing</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15kHz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Transmission Bandwidth</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5x20MHz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Physical Structure and Resource Allocation (RE pattern) (reference to figure in contribution)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CombSize=2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w:t>
            </w:r>
          </w:p>
          <w:p>
            <w:pPr>
              <w:snapToGrid w:val="0"/>
              <w:spacing w:after="0" w:line="240" w:lineRule="auto"/>
              <w:rPr>
                <w:rFonts w:ascii="Times New Roman" w:hAnsi="Times New Roman"/>
                <w:sz w:val="20"/>
                <w:szCs w:val="20"/>
              </w:rPr>
            </w:pPr>
            <w:r>
              <w:rPr>
                <w:rFonts w:ascii="Times New Roman" w:hAnsi="Times New Roman"/>
                <w:sz w:val="20"/>
                <w:szCs w:val="20"/>
              </w:rPr>
              <w:t>(type of sequence, number of ports,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DL PRS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sites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symbols used per occasion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occasions used per positioning estimate</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139"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Power-boosting level</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Uplink power control (applied/not applied)</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interference modelling (ideal muting, or other)</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Measurement Algorithm (e.g., super resolution, interference cancellation,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M</w:t>
            </w:r>
            <w:r>
              <w:rPr>
                <w:rFonts w:ascii="Times New Roman" w:hAnsi="Times New Roman"/>
                <w:sz w:val="20"/>
                <w:szCs w:val="20"/>
              </w:rPr>
              <w:t>USIC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positioning technique / applied positioning algorithm (e.g., Least square, Taylor series, etc)</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Least square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lang w:val="en-GB" w:eastAsia="en-US"/>
              </w:rPr>
            </w:pPr>
            <w:r>
              <w:rPr>
                <w:rFonts w:ascii="Times New Roman" w:hAnsi="Times New Roman"/>
                <w:sz w:val="20"/>
                <w:szCs w:val="20"/>
              </w:rPr>
              <w:t>Network synchronization assumptions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180" w:line="240" w:lineRule="auto"/>
              <w:jc w:val="center"/>
              <w:rPr>
                <w:rFonts w:ascii="Times New Roman" w:hAnsi="Times New Roman" w:eastAsia="宋体"/>
                <w:sz w:val="20"/>
                <w:szCs w:val="20"/>
                <w:lang w:val="en-GB" w:eastAsia="en-US"/>
              </w:rPr>
            </w:pPr>
            <w:r>
              <w:t xml:space="preserve"> </w:t>
            </w:r>
            <w:r>
              <w:rPr>
                <w:rFonts w:ascii="Times New Roman" w:hAnsi="Times New Roman" w:eastAsia="宋体"/>
                <w:sz w:val="20"/>
                <w:szCs w:val="20"/>
                <w:lang w:val="en-GB" w:eastAsia="en-US"/>
              </w:rPr>
              <w:t>Perfect synchronization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Beam-related assumption (beam sweeping / alignment assumptions at the tx and rx sides)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Precoding assumptions (codebook, nrof antenna elements used, etc)</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configuration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(1, 1, 1, 1, 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UE branches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1Rx 1Tx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enhancement solutions, if any</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gNB antenna configuration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(4, 4, 2, 1, 1), dH=dV=0.5λ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UE noise figure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9dB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height</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gNB antenna height</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w:t>
            </w:r>
            <w:r>
              <w:rPr>
                <w:rFonts w:ascii="Times New Roman" w:hAnsi="Times New Roman"/>
                <w:sz w:val="20"/>
                <w:szCs w:val="20"/>
              </w:rPr>
              <w:t>m</w:t>
            </w:r>
          </w:p>
        </w:tc>
      </w:tr>
    </w:tbl>
    <w:p>
      <w:pPr>
        <w:snapToGrid w:val="0"/>
        <w:spacing w:after="180" w:afterLines="50" w:line="240" w:lineRule="auto"/>
        <w:rPr>
          <w:rFonts w:ascii="Times New Roman" w:hAnsi="Times New Roman"/>
          <w:sz w:val="20"/>
        </w:rPr>
      </w:pPr>
    </w:p>
    <w:p>
      <w:pPr>
        <w:snapToGrid w:val="0"/>
        <w:spacing w:after="180" w:afterLines="50" w:line="240" w:lineRule="auto"/>
        <w:jc w:val="center"/>
        <w:rPr>
          <w:rFonts w:ascii="Times New Roman" w:hAnsi="Times New Roman"/>
          <w:sz w:val="20"/>
          <w:szCs w:val="20"/>
        </w:rPr>
      </w:pPr>
      <w:r>
        <w:rPr>
          <w:rFonts w:ascii="Times New Roman" w:hAnsi="Times New Roman"/>
          <w:sz w:val="20"/>
          <w:szCs w:val="20"/>
        </w:rPr>
        <w:t>Table 3.1-3: NR RedCap UE positioning - evaluation scenarios and parameters for FR1 InF-SH (I</w:t>
      </w:r>
      <w:r>
        <w:rPr>
          <w:rFonts w:hint="eastAsia" w:ascii="Times New Roman" w:hAnsi="Times New Roman"/>
          <w:sz w:val="20"/>
          <w:szCs w:val="20"/>
        </w:rPr>
        <w:t>mpact</w:t>
      </w:r>
      <w:r>
        <w:rPr>
          <w:rFonts w:ascii="Times New Roman" w:hAnsi="Times New Roman"/>
          <w:sz w:val="20"/>
          <w:szCs w:val="20"/>
        </w:rPr>
        <w:t xml:space="preserve"> of phase offset)</w:t>
      </w:r>
    </w:p>
    <w:tbl>
      <w:tblPr>
        <w:tblStyle w:val="23"/>
        <w:tblW w:w="108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060"/>
        <w:gridCol w:w="1559"/>
        <w:gridCol w:w="1559"/>
        <w:gridCol w:w="1418"/>
        <w:gridCol w:w="1417"/>
        <w:gridCol w:w="1418"/>
        <w:gridCol w:w="144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1"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Parameter</w:t>
            </w:r>
          </w:p>
        </w:tc>
        <w:tc>
          <w:tcPr>
            <w:tcW w:w="1559"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14 (InF-SH, FR1, 5x20 MHz, Phase offset 0.01*2π)</w:t>
            </w:r>
          </w:p>
        </w:tc>
        <w:tc>
          <w:tcPr>
            <w:tcW w:w="1559"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15 (InF-SH, FR1, 5x20 MHz, Phase offset 0.05*2π)</w:t>
            </w:r>
          </w:p>
        </w:tc>
        <w:tc>
          <w:tcPr>
            <w:tcW w:w="1418"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16 (InF-SH, FR1, 5x20 MHz, Phase offset 0.1*2π)</w:t>
            </w:r>
          </w:p>
        </w:tc>
        <w:tc>
          <w:tcPr>
            <w:tcW w:w="1417"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17 (InF-SH, FR1, 5x20 MHz, Phase offset 0.2*2π)</w:t>
            </w:r>
          </w:p>
        </w:tc>
        <w:tc>
          <w:tcPr>
            <w:tcW w:w="1418"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18 (InF-SH, FR1, 5x20 MHz, Phase offset 0.5*2π)</w:t>
            </w:r>
          </w:p>
        </w:tc>
        <w:tc>
          <w:tcPr>
            <w:tcW w:w="1449"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19 (InF-SH, FR1, 5x20 MHz, Phase offset 1*2π)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Scenario (baseline, otherwise state any modifications)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F-SH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Carrier frequency</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3</w:t>
            </w:r>
            <w:r>
              <w:rPr>
                <w:rFonts w:ascii="Times New Roman" w:hAnsi="Times New Roman"/>
                <w:sz w:val="20"/>
                <w:szCs w:val="20"/>
              </w:rPr>
              <w:t>.5GHz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Subcarrier spacing</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15kHz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Transmission Bandwidth</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5x20MHz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Physical Structure and Resource Allocation (RE pattern) (reference to figure in contribution)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CombSize=2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w:t>
            </w:r>
          </w:p>
          <w:p>
            <w:pPr>
              <w:snapToGrid w:val="0"/>
              <w:spacing w:after="0" w:line="240" w:lineRule="auto"/>
              <w:rPr>
                <w:rFonts w:ascii="Times New Roman" w:hAnsi="Times New Roman"/>
                <w:sz w:val="20"/>
                <w:szCs w:val="20"/>
              </w:rPr>
            </w:pPr>
            <w:r>
              <w:rPr>
                <w:rFonts w:ascii="Times New Roman" w:hAnsi="Times New Roman"/>
                <w:sz w:val="20"/>
                <w:szCs w:val="20"/>
              </w:rPr>
              <w:t>(type of sequence, number of ports,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DL PRS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sites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symbols used per occasion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occasions used per positioning estimate</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139"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Power-boosting level</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Uplink power control (applied/not applied)</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interference modelling (ideal muting, or other)</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Measurement Algorithm (e.g., super resolution, interference cancellation,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M</w:t>
            </w:r>
            <w:r>
              <w:rPr>
                <w:rFonts w:ascii="Times New Roman" w:hAnsi="Times New Roman"/>
                <w:sz w:val="20"/>
                <w:szCs w:val="20"/>
              </w:rPr>
              <w:t>USIC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positioning technique / applied positioning algorithm (e.g., Least square, Taylor series, etc)</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Least square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lang w:val="en-GB" w:eastAsia="en-US"/>
              </w:rPr>
            </w:pPr>
            <w:r>
              <w:rPr>
                <w:rFonts w:ascii="Times New Roman" w:hAnsi="Times New Roman"/>
                <w:sz w:val="20"/>
                <w:szCs w:val="20"/>
              </w:rPr>
              <w:t>Network synchronization assumptions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180" w:line="240" w:lineRule="auto"/>
              <w:jc w:val="center"/>
              <w:rPr>
                <w:rFonts w:ascii="Times New Roman" w:hAnsi="Times New Roman" w:eastAsia="宋体"/>
                <w:sz w:val="20"/>
                <w:szCs w:val="20"/>
                <w:lang w:val="en-GB" w:eastAsia="en-US"/>
              </w:rPr>
            </w:pPr>
            <w:r>
              <w:t xml:space="preserve"> </w:t>
            </w:r>
            <w:r>
              <w:rPr>
                <w:rFonts w:ascii="Times New Roman" w:hAnsi="Times New Roman" w:eastAsia="宋体"/>
                <w:sz w:val="20"/>
                <w:szCs w:val="20"/>
                <w:lang w:val="en-GB" w:eastAsia="en-US"/>
              </w:rPr>
              <w:t>Perfect synchronization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Beam-related assumption (beam sweeping / alignment assumptions at the tx and rx sides)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Precoding assumptions (codebook, nrof antenna elements used, etc)</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configuration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(1, 1, 1, 1, 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UE branches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1Rx 1Tx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enhancement solutions, if any</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R</w:t>
            </w:r>
            <w:r>
              <w:rPr>
                <w:rFonts w:ascii="Times New Roman" w:hAnsi="Times New Roman"/>
                <w:sz w:val="20"/>
                <w:szCs w:val="20"/>
              </w:rPr>
              <w:t>andom phase offset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gNB antenna configuration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(4, 4, 2, 1, 1), dH=dV=0.5λ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UE noise figure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9dB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height</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gNB antenna height</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w:t>
            </w:r>
            <w:r>
              <w:rPr>
                <w:rFonts w:ascii="Times New Roman" w:hAnsi="Times New Roman"/>
                <w:sz w:val="20"/>
                <w:szCs w:val="20"/>
              </w:rPr>
              <w:t>m</w:t>
            </w:r>
          </w:p>
        </w:tc>
      </w:tr>
    </w:tbl>
    <w:p>
      <w:pPr>
        <w:snapToGrid w:val="0"/>
        <w:spacing w:after="180" w:afterLines="50" w:line="240" w:lineRule="auto"/>
        <w:rPr>
          <w:rFonts w:ascii="Times New Roman" w:hAnsi="Times New Roman"/>
          <w:sz w:val="16"/>
        </w:rPr>
      </w:pPr>
    </w:p>
    <w:p>
      <w:pPr>
        <w:snapToGrid w:val="0"/>
        <w:spacing w:after="180" w:afterLines="50" w:line="240" w:lineRule="auto"/>
        <w:jc w:val="center"/>
        <w:rPr>
          <w:rFonts w:ascii="Times New Roman" w:hAnsi="Times New Roman"/>
          <w:sz w:val="20"/>
          <w:szCs w:val="20"/>
        </w:rPr>
      </w:pPr>
      <w:r>
        <w:rPr>
          <w:rFonts w:ascii="Times New Roman" w:hAnsi="Times New Roman"/>
          <w:sz w:val="20"/>
          <w:szCs w:val="20"/>
        </w:rPr>
        <w:t>Table 3.1-4: NR RedCap UE positioning - evaluation scenarios and parameters for FR1 InF-SH (I</w:t>
      </w:r>
      <w:r>
        <w:rPr>
          <w:rFonts w:hint="eastAsia" w:ascii="Times New Roman" w:hAnsi="Times New Roman"/>
          <w:sz w:val="20"/>
          <w:szCs w:val="20"/>
        </w:rPr>
        <w:t>mpact</w:t>
      </w:r>
      <w:r>
        <w:rPr>
          <w:rFonts w:ascii="Times New Roman" w:hAnsi="Times New Roman"/>
          <w:sz w:val="20"/>
          <w:szCs w:val="20"/>
        </w:rPr>
        <w:t xml:space="preserve"> of timing offset)</w:t>
      </w:r>
    </w:p>
    <w:tbl>
      <w:tblPr>
        <w:tblStyle w:val="23"/>
        <w:tblW w:w="108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060"/>
        <w:gridCol w:w="1559"/>
        <w:gridCol w:w="1559"/>
        <w:gridCol w:w="1418"/>
        <w:gridCol w:w="1417"/>
        <w:gridCol w:w="1418"/>
        <w:gridCol w:w="1449"/>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1"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Parameter</w:t>
            </w:r>
          </w:p>
        </w:tc>
        <w:tc>
          <w:tcPr>
            <w:tcW w:w="1559"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20 (InF-SH, FR1, 5x20 MHz, STD=0)</w:t>
            </w:r>
          </w:p>
        </w:tc>
        <w:tc>
          <w:tcPr>
            <w:tcW w:w="1559"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21 (InF-SH, FR1, 5x20 MHz, STD=0.5 ns)</w:t>
            </w:r>
          </w:p>
        </w:tc>
        <w:tc>
          <w:tcPr>
            <w:tcW w:w="1418"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22 (InF-SH, FR1, 5x20 MHz, STD=1 ns)</w:t>
            </w:r>
          </w:p>
        </w:tc>
        <w:tc>
          <w:tcPr>
            <w:tcW w:w="1417"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23 (InF-SH, FR1, 5x20 MHz, STD=2 ns)</w:t>
            </w:r>
          </w:p>
        </w:tc>
        <w:tc>
          <w:tcPr>
            <w:tcW w:w="1418"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24 (InF-SH, FR1, 5x20 MHz, STD=3 ns)</w:t>
            </w:r>
          </w:p>
        </w:tc>
        <w:tc>
          <w:tcPr>
            <w:tcW w:w="1449"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25 (InF-SH, FR1, 5x20 MHz, STD=4 ns)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Scenario (baseline, otherwise state any modifications)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F-SH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Carrier frequency</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3</w:t>
            </w:r>
            <w:r>
              <w:rPr>
                <w:rFonts w:ascii="Times New Roman" w:hAnsi="Times New Roman"/>
                <w:sz w:val="20"/>
                <w:szCs w:val="20"/>
              </w:rPr>
              <w:t>.5GHz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Subcarrier spacing</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15kHz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Transmission Bandwidth</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5x20MHz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Physical Structure and Resource Allocation (RE pattern) (reference to figure in contribution)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CombSize=2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w:t>
            </w:r>
          </w:p>
          <w:p>
            <w:pPr>
              <w:snapToGrid w:val="0"/>
              <w:spacing w:after="0" w:line="240" w:lineRule="auto"/>
              <w:rPr>
                <w:rFonts w:ascii="Times New Roman" w:hAnsi="Times New Roman"/>
                <w:sz w:val="20"/>
                <w:szCs w:val="20"/>
              </w:rPr>
            </w:pPr>
            <w:r>
              <w:rPr>
                <w:rFonts w:ascii="Times New Roman" w:hAnsi="Times New Roman"/>
                <w:sz w:val="20"/>
                <w:szCs w:val="20"/>
              </w:rPr>
              <w:t>(type of sequence, number of ports,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DL PRS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sites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symbols used per occasion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occasions used per positioning estimate</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139"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Power-boosting level</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Uplink power control (applied/not applied)</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interference modelling (ideal muting, or other)</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Measurement Algorithm (e.g., super resolution, interference cancellation,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M</w:t>
            </w:r>
            <w:r>
              <w:rPr>
                <w:rFonts w:ascii="Times New Roman" w:hAnsi="Times New Roman"/>
                <w:sz w:val="20"/>
                <w:szCs w:val="20"/>
              </w:rPr>
              <w:t>USIC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positioning technique / applied positioning algorithm (e.g., Least square, Taylor series, etc)</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Least square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Network synchronization assumptions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180" w:line="240" w:lineRule="auto"/>
              <w:jc w:val="center"/>
              <w:rPr>
                <w:rFonts w:ascii="Times New Roman" w:hAnsi="Times New Roman" w:eastAsia="宋体"/>
                <w:sz w:val="20"/>
                <w:szCs w:val="20"/>
                <w:lang w:val="en-GB" w:eastAsia="en-US"/>
              </w:rPr>
            </w:pPr>
            <w:r>
              <w:rPr>
                <w:rFonts w:hint="eastAsia" w:ascii="Times New Roman" w:hAnsi="Times New Roman" w:eastAsia="宋体"/>
                <w:sz w:val="20"/>
                <w:szCs w:val="20"/>
              </w:rPr>
              <w:t xml:space="preserve"> Perfect synchronization</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Beam-related assumption (beam sweeping / alignment assumptions at the tx and rx sides)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Precoding assumptions (codebook, nrof antenna elements used, etc)</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configuration</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(1, 1, 1, 1, 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UE branches</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1Rx 1Tx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enhancement solutions, if any</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w:t>
            </w:r>
          </w:p>
          <w:p>
            <w:pPr>
              <w:snapToGrid w:val="0"/>
              <w:spacing w:after="0" w:line="240" w:lineRule="auto"/>
              <w:jc w:val="center"/>
              <w:rPr>
                <w:rFonts w:ascii="Times New Roman" w:hAnsi="Times New Roman"/>
                <w:sz w:val="20"/>
                <w:szCs w:val="20"/>
              </w:rPr>
            </w:pPr>
            <w:r>
              <w:rPr>
                <w:rFonts w:hint="eastAsia" w:ascii="Times New Roman" w:hAnsi="Times New Roman"/>
                <w:sz w:val="20"/>
                <w:szCs w:val="20"/>
              </w:rPr>
              <w:t>R</w:t>
            </w:r>
            <w:r>
              <w:rPr>
                <w:rFonts w:ascii="Times New Roman" w:hAnsi="Times New Roman"/>
                <w:sz w:val="20"/>
                <w:szCs w:val="20"/>
              </w:rPr>
              <w:t>andom timing offset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gNB antenna configuration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(4, 4, 2, 1, 1), dH=dV=0.5λ</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UE noise figure  </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9dB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height</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06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gNB antenna height</w:t>
            </w:r>
          </w:p>
        </w:tc>
        <w:tc>
          <w:tcPr>
            <w:tcW w:w="8820" w:type="dxa"/>
            <w:gridSpan w:val="6"/>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w:t>
            </w:r>
            <w:r>
              <w:rPr>
                <w:rFonts w:ascii="Times New Roman" w:hAnsi="Times New Roman"/>
                <w:sz w:val="20"/>
                <w:szCs w:val="20"/>
              </w:rPr>
              <w:t>m</w:t>
            </w:r>
          </w:p>
        </w:tc>
      </w:tr>
    </w:tbl>
    <w:p>
      <w:pPr>
        <w:snapToGrid w:val="0"/>
        <w:spacing w:after="180" w:afterLines="50" w:line="240" w:lineRule="auto"/>
        <w:rPr>
          <w:rFonts w:ascii="Times New Roman" w:hAnsi="Times New Roman"/>
          <w:sz w:val="20"/>
        </w:rPr>
      </w:pPr>
    </w:p>
    <w:p>
      <w:pPr>
        <w:snapToGrid w:val="0"/>
        <w:spacing w:after="180" w:afterLines="50" w:line="240" w:lineRule="auto"/>
        <w:jc w:val="center"/>
        <w:rPr>
          <w:rFonts w:ascii="Times New Roman" w:hAnsi="Times New Roman"/>
          <w:sz w:val="20"/>
          <w:szCs w:val="20"/>
        </w:rPr>
      </w:pPr>
      <w:r>
        <w:rPr>
          <w:rFonts w:ascii="Times New Roman" w:hAnsi="Times New Roman"/>
          <w:sz w:val="20"/>
          <w:szCs w:val="20"/>
        </w:rPr>
        <w:t xml:space="preserve">Table 3.1-5: NR RedCap UE positioning - evaluation scenarios and parameters for FR2 InF-SH </w:t>
      </w:r>
    </w:p>
    <w:tbl>
      <w:tblPr>
        <w:tblStyle w:val="23"/>
        <w:tblW w:w="10713"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70" w:type="dxa"/>
          <w:bottom w:w="0" w:type="dxa"/>
          <w:right w:w="70" w:type="dxa"/>
        </w:tblCellMar>
      </w:tblPr>
      <w:tblGrid>
        <w:gridCol w:w="2237"/>
        <w:gridCol w:w="1671"/>
        <w:gridCol w:w="23"/>
        <w:gridCol w:w="1677"/>
        <w:gridCol w:w="17"/>
        <w:gridCol w:w="1683"/>
        <w:gridCol w:w="11"/>
        <w:gridCol w:w="1694"/>
        <w:gridCol w:w="17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1"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Parameter</w:t>
            </w:r>
          </w:p>
        </w:tc>
        <w:tc>
          <w:tcPr>
            <w:tcW w:w="1671"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26 (InF-SH, FR2, 100MHz Only)</w:t>
            </w:r>
          </w:p>
        </w:tc>
        <w:tc>
          <w:tcPr>
            <w:tcW w:w="1700" w:type="dxa"/>
            <w:gridSpan w:val="2"/>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27 (InF-SH, FR2, 100+100 MHz, with Φ adjustment</w:t>
            </w:r>
          </w:p>
        </w:tc>
        <w:tc>
          <w:tcPr>
            <w:tcW w:w="1700" w:type="dxa"/>
            <w:gridSpan w:val="2"/>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28 (InF-SH, FR2, Full 200MHz)</w:t>
            </w:r>
          </w:p>
        </w:tc>
        <w:tc>
          <w:tcPr>
            <w:tcW w:w="1705" w:type="dxa"/>
            <w:gridSpan w:val="2"/>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29 (InF-SH, FR2, 100+100+100 MHz, with Φ adjustment)</w:t>
            </w:r>
          </w:p>
        </w:tc>
        <w:tc>
          <w:tcPr>
            <w:tcW w:w="1700"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b/>
                <w:sz w:val="20"/>
                <w:szCs w:val="20"/>
              </w:rPr>
            </w:pPr>
            <w:r>
              <w:rPr>
                <w:rFonts w:ascii="Times New Roman" w:hAnsi="Times New Roman"/>
                <w:b/>
                <w:sz w:val="20"/>
                <w:szCs w:val="20"/>
              </w:rPr>
              <w:t>Case 30 (InF-SH, FR2, Full 300MHz)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Scenario (baseline, otherwise state any modifications)</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In</w:t>
            </w:r>
            <w:r>
              <w:rPr>
                <w:rFonts w:ascii="Times New Roman" w:hAnsi="Times New Roman"/>
                <w:sz w:val="20"/>
                <w:szCs w:val="20"/>
              </w:rPr>
              <w:t>F-SH</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Carrier frequency</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28 GHz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Subcarrier spacing</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20kHz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Transmission Bandwidth</w:t>
            </w:r>
          </w:p>
        </w:tc>
        <w:tc>
          <w:tcPr>
            <w:tcW w:w="1694" w:type="dxa"/>
            <w:gridSpan w:val="2"/>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eastAsia="宋体"/>
                <w:sz w:val="20"/>
                <w:szCs w:val="20"/>
              </w:rPr>
            </w:pPr>
            <w:r>
              <w:rPr>
                <w:rFonts w:hint="eastAsia" w:ascii="Times New Roman" w:hAnsi="Times New Roman" w:eastAsia="宋体"/>
                <w:sz w:val="20"/>
                <w:szCs w:val="20"/>
              </w:rPr>
              <w:t>1</w:t>
            </w:r>
            <w:r>
              <w:rPr>
                <w:rFonts w:ascii="Times New Roman" w:hAnsi="Times New Roman" w:eastAsia="宋体"/>
                <w:sz w:val="20"/>
                <w:szCs w:val="20"/>
              </w:rPr>
              <w:t>00MHz</w:t>
            </w:r>
          </w:p>
        </w:tc>
        <w:tc>
          <w:tcPr>
            <w:tcW w:w="1694" w:type="dxa"/>
            <w:gridSpan w:val="2"/>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eastAsia="宋体"/>
                <w:sz w:val="20"/>
                <w:szCs w:val="20"/>
              </w:rPr>
            </w:pPr>
            <w:r>
              <w:rPr>
                <w:rFonts w:ascii="Times New Roman" w:hAnsi="Times New Roman"/>
                <w:sz w:val="20"/>
              </w:rPr>
              <w:t>2</w:t>
            </w:r>
            <w:r>
              <w:t xml:space="preserve"> </w:t>
            </w:r>
            <w:r>
              <w:rPr>
                <w:rFonts w:ascii="Times New Roman" w:hAnsi="Times New Roman" w:eastAsia="宋体"/>
                <w:sz w:val="20"/>
                <w:szCs w:val="20"/>
              </w:rPr>
              <w:t>x 100 MHz</w:t>
            </w:r>
          </w:p>
        </w:tc>
        <w:tc>
          <w:tcPr>
            <w:tcW w:w="1694" w:type="dxa"/>
            <w:gridSpan w:val="2"/>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eastAsia="宋体"/>
                <w:sz w:val="20"/>
                <w:szCs w:val="20"/>
              </w:rPr>
            </w:pPr>
            <w:r>
              <w:rPr>
                <w:rFonts w:hint="eastAsia" w:ascii="Times New Roman" w:hAnsi="Times New Roman" w:eastAsia="宋体"/>
                <w:sz w:val="20"/>
                <w:szCs w:val="20"/>
              </w:rPr>
              <w:t>2</w:t>
            </w:r>
            <w:r>
              <w:rPr>
                <w:rFonts w:ascii="Times New Roman" w:hAnsi="Times New Roman" w:eastAsia="宋体"/>
                <w:sz w:val="20"/>
                <w:szCs w:val="20"/>
              </w:rPr>
              <w:t>00 MHz</w:t>
            </w:r>
          </w:p>
        </w:tc>
        <w:tc>
          <w:tcPr>
            <w:tcW w:w="1694"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3</w:t>
            </w:r>
            <w:r>
              <w:t xml:space="preserve"> </w:t>
            </w:r>
            <w:r>
              <w:rPr>
                <w:rFonts w:ascii="Times New Roman" w:hAnsi="Times New Roman" w:eastAsia="宋体"/>
                <w:sz w:val="20"/>
                <w:szCs w:val="20"/>
              </w:rPr>
              <w:t>x 100 MHz</w:t>
            </w:r>
          </w:p>
        </w:tc>
        <w:tc>
          <w:tcPr>
            <w:tcW w:w="1700"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eastAsia="宋体"/>
                <w:sz w:val="20"/>
                <w:szCs w:val="20"/>
              </w:rPr>
            </w:pPr>
            <w:r>
              <w:rPr>
                <w:rFonts w:ascii="Times New Roman" w:hAnsi="Times New Roman" w:eastAsia="宋体"/>
                <w:sz w:val="20"/>
                <w:szCs w:val="20"/>
              </w:rPr>
              <w:t>300 MHz</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 Physical Structure and Resource Allocation (RE pattern) (reference to figure in contribution)</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CombSize=2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Reference signal</w:t>
            </w:r>
          </w:p>
          <w:p>
            <w:pPr>
              <w:snapToGrid w:val="0"/>
              <w:spacing w:after="0" w:line="240" w:lineRule="auto"/>
              <w:rPr>
                <w:rFonts w:ascii="Times New Roman" w:hAnsi="Times New Roman"/>
                <w:sz w:val="20"/>
                <w:szCs w:val="20"/>
              </w:rPr>
            </w:pPr>
            <w:r>
              <w:rPr>
                <w:rFonts w:ascii="Times New Roman" w:hAnsi="Times New Roman"/>
                <w:sz w:val="20"/>
                <w:szCs w:val="20"/>
              </w:rPr>
              <w:t>(type of sequence, number of ports, …)</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DL PRS</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sites</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1</w:t>
            </w:r>
            <w:r>
              <w:rPr>
                <w:rFonts w:ascii="Times New Roman" w:hAnsi="Times New Roman"/>
                <w:sz w:val="20"/>
                <w:szCs w:val="20"/>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symbols used per occasion</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occasions used per positioning estimate</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139"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Power-boosting level</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Uplink power control (applied/not applied)</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Not applied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interference modelling (ideal muting, or other)</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ascii="Times New Roman" w:hAnsi="Times New Roman"/>
                <w:sz w:val="20"/>
                <w:szCs w:val="20"/>
              </w:rPr>
              <w:t>ideal muting</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Measurement Algorithm (e.g., super resolution, interference cancellation, ….)</w:t>
            </w:r>
          </w:p>
        </w:tc>
        <w:tc>
          <w:tcPr>
            <w:tcW w:w="8476" w:type="dxa"/>
            <w:gridSpan w:val="8"/>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M</w:t>
            </w:r>
            <w:r>
              <w:rPr>
                <w:rFonts w:ascii="Times New Roman" w:hAnsi="Times New Roman"/>
                <w:sz w:val="20"/>
                <w:szCs w:val="20"/>
              </w:rPr>
              <w:t>USIC</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positioning technique / applied positioning algorithm (e.g., Least square, Taylor series, etc)</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Least square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Network synchronization assumptions</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eastAsia="宋体"/>
                <w:sz w:val="20"/>
                <w:szCs w:val="20"/>
              </w:rPr>
              <w:t>Perfect synchronization</w:t>
            </w:r>
            <w:r>
              <w:rPr>
                <w:rFonts w:ascii="Times New Roman" w:hAnsi="Times New Roman" w:eastAsia="宋体"/>
                <w:sz w:val="20"/>
                <w:szCs w:val="20"/>
                <w:lang w:val="en-GB" w:eastAsia="en-US"/>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Beam-related assumption (beam sweeping / alignment assumptions at the tx and rx sides)</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Precoding assumptions (codebook, nrof antenna elements used, etc)</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N/A</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configuration</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(M, N, P, Mg, Ng) = (1, 2, 2, 1, 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Number of UE branches</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2Rx 1Tx</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Description of enhancement solutions, if any</w:t>
            </w:r>
          </w:p>
        </w:tc>
        <w:tc>
          <w:tcPr>
            <w:tcW w:w="1671"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None</w:t>
            </w:r>
          </w:p>
        </w:tc>
        <w:tc>
          <w:tcPr>
            <w:tcW w:w="1700" w:type="dxa"/>
            <w:gridSpan w:val="2"/>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 3 hops with phase adjustment; Phase between hops satisfy uniform random, (-π, +π); 4PRB used for practical phase estimation</w:t>
            </w:r>
          </w:p>
        </w:tc>
        <w:tc>
          <w:tcPr>
            <w:tcW w:w="1700" w:type="dxa"/>
            <w:gridSpan w:val="2"/>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None</w:t>
            </w:r>
          </w:p>
        </w:tc>
        <w:tc>
          <w:tcPr>
            <w:tcW w:w="1705" w:type="dxa"/>
            <w:gridSpan w:val="2"/>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F</w:t>
            </w:r>
            <w:r>
              <w:rPr>
                <w:rFonts w:ascii="Times New Roman" w:hAnsi="Times New Roman"/>
                <w:sz w:val="20"/>
                <w:szCs w:val="20"/>
              </w:rPr>
              <w:t>requency hopping, 3 hops with phase adjustment; Phase between hops satisfy uniform random, (-π, +π); 4PRB used for practical phase estimation</w:t>
            </w:r>
          </w:p>
        </w:tc>
        <w:tc>
          <w:tcPr>
            <w:tcW w:w="1700" w:type="dxa"/>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None</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gNB antenna configuration </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 xml:space="preserve">(M, N, P, Mg, Ng) = (4, 8, 2, 1, 1), dH=dV=0.5λ </w:t>
            </w:r>
          </w:p>
          <w:p>
            <w:pPr>
              <w:snapToGrid w:val="0"/>
              <w:spacing w:after="0" w:line="240" w:lineRule="auto"/>
              <w:jc w:val="center"/>
              <w:rPr>
                <w:rFonts w:ascii="Times New Roman" w:hAnsi="Times New Roman"/>
                <w:sz w:val="20"/>
                <w:szCs w:val="20"/>
              </w:rPr>
            </w:pPr>
            <w:r>
              <w:rPr>
                <w:rFonts w:ascii="Times New Roman" w:hAnsi="Times New Roman"/>
                <w:sz w:val="20"/>
                <w:szCs w:val="20"/>
              </w:rPr>
              <w:t>One TXRU per polarization per panel is assumed</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 xml:space="preserve">UE noise figure  </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13dB</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UE antenna height</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ascii="Times New Roman" w:hAnsi="Times New Roman"/>
                <w:sz w:val="20"/>
                <w:szCs w:val="20"/>
              </w:rPr>
              <w:t>1.5m</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70" w:type="dxa"/>
            <w:bottom w:w="0" w:type="dxa"/>
            <w:right w:w="70" w:type="dxa"/>
          </w:tblCellMar>
        </w:tblPrEx>
        <w:trPr>
          <w:trHeight w:val="20" w:hRule="atLeast"/>
          <w:jc w:val="center"/>
        </w:trPr>
        <w:tc>
          <w:tcPr>
            <w:tcW w:w="2237" w:type="dxa"/>
            <w:tcBorders>
              <w:top w:val="single" w:color="auto" w:sz="8" w:space="0"/>
              <w:left w:val="single" w:color="auto" w:sz="8" w:space="0"/>
              <w:bottom w:val="single" w:color="auto" w:sz="8" w:space="0"/>
              <w:right w:val="single" w:color="auto" w:sz="8" w:space="0"/>
            </w:tcBorders>
            <w:vAlign w:val="center"/>
          </w:tcPr>
          <w:p>
            <w:pPr>
              <w:snapToGrid w:val="0"/>
              <w:spacing w:after="0" w:line="240" w:lineRule="auto"/>
              <w:rPr>
                <w:rFonts w:ascii="Times New Roman" w:hAnsi="Times New Roman"/>
                <w:sz w:val="20"/>
                <w:szCs w:val="20"/>
              </w:rPr>
            </w:pPr>
            <w:r>
              <w:rPr>
                <w:rFonts w:ascii="Times New Roman" w:hAnsi="Times New Roman"/>
                <w:sz w:val="20"/>
                <w:szCs w:val="20"/>
              </w:rPr>
              <w:t>gNB antenna height</w:t>
            </w:r>
          </w:p>
        </w:tc>
        <w:tc>
          <w:tcPr>
            <w:tcW w:w="8476" w:type="dxa"/>
            <w:gridSpan w:val="8"/>
            <w:tcBorders>
              <w:top w:val="single" w:color="auto" w:sz="8" w:space="0"/>
              <w:left w:val="single" w:color="auto" w:sz="8" w:space="0"/>
              <w:bottom w:val="single" w:color="auto" w:sz="8" w:space="0"/>
              <w:right w:val="single" w:color="auto" w:sz="8" w:space="0"/>
            </w:tcBorders>
          </w:tcPr>
          <w:p>
            <w:pPr>
              <w:snapToGrid w:val="0"/>
              <w:spacing w:after="0" w:line="240" w:lineRule="auto"/>
              <w:jc w:val="center"/>
              <w:rPr>
                <w:rFonts w:ascii="Times New Roman" w:hAnsi="Times New Roman"/>
                <w:sz w:val="20"/>
                <w:szCs w:val="20"/>
              </w:rPr>
            </w:pPr>
            <w:r>
              <w:rPr>
                <w:rFonts w:hint="eastAsia" w:ascii="Times New Roman" w:hAnsi="Times New Roman"/>
                <w:sz w:val="20"/>
                <w:szCs w:val="20"/>
              </w:rPr>
              <w:t>8</w:t>
            </w:r>
            <w:r>
              <w:rPr>
                <w:rFonts w:ascii="Times New Roman" w:hAnsi="Times New Roman"/>
                <w:sz w:val="20"/>
                <w:szCs w:val="20"/>
              </w:rPr>
              <w:t>m</w:t>
            </w:r>
          </w:p>
        </w:tc>
      </w:tr>
    </w:tbl>
    <w:p>
      <w:pPr>
        <w:snapToGrid w:val="0"/>
        <w:spacing w:after="180" w:afterLines="50" w:line="240" w:lineRule="auto"/>
        <w:rPr>
          <w:rFonts w:ascii="Times New Roman" w:hAnsi="Times New Roman"/>
          <w:sz w:val="20"/>
          <w:szCs w:val="20"/>
        </w:rPr>
      </w:pPr>
    </w:p>
    <w:p>
      <w:pPr>
        <w:pStyle w:val="3"/>
        <w:snapToGrid w:val="0"/>
        <w:spacing w:line="240" w:lineRule="auto"/>
        <w:rPr>
          <w:rFonts w:ascii="Arial" w:hAnsi="Arial" w:cs="Arial"/>
          <w:b/>
          <w:sz w:val="24"/>
          <w:szCs w:val="24"/>
        </w:rPr>
      </w:pPr>
      <w:r>
        <w:rPr>
          <w:rFonts w:ascii="Arial" w:hAnsi="Arial" w:cs="Arial"/>
          <w:b/>
          <w:sz w:val="24"/>
          <w:szCs w:val="24"/>
        </w:rPr>
        <w:t>3.2 NR RedCap UE positioning accuracy evaluation results Evaluation results</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simulation results for FR1 in InF-SH scenario for comparing </w:t>
      </w:r>
      <w:r>
        <w:rPr>
          <w:rFonts w:hint="eastAsia" w:ascii="Times New Roman" w:hAnsi="Times New Roman"/>
          <w:sz w:val="20"/>
          <w:szCs w:val="20"/>
        </w:rPr>
        <w:t xml:space="preserve">with and without </w:t>
      </w:r>
      <w:r>
        <w:rPr>
          <w:rFonts w:ascii="Times New Roman" w:hAnsi="Times New Roman"/>
          <w:sz w:val="20"/>
          <w:szCs w:val="20"/>
        </w:rPr>
        <w:t>frequency hopping are shown in the following Figure 3.2-1, Figure 3.2-1 and Table 3.2.2</w:t>
      </w:r>
      <w:r>
        <w:rPr>
          <w:rFonts w:hint="eastAsia" w:ascii="Times New Roman" w:hAnsi="Times New Roman"/>
          <w:sz w:val="20"/>
          <w:szCs w:val="20"/>
        </w:rPr>
        <w:t xml:space="preserve">. </w:t>
      </w:r>
    </w:p>
    <w:p>
      <w:pPr>
        <w:widowControl w:val="0"/>
        <w:snapToGrid w:val="0"/>
        <w:spacing w:before="180" w:beforeLines="50" w:after="180" w:afterLines="50" w:line="240" w:lineRule="auto"/>
        <w:jc w:val="both"/>
        <w:rPr>
          <w:rFonts w:ascii="Times New Roman" w:hAnsi="Times New Roman"/>
          <w:sz w:val="20"/>
          <w:szCs w:val="20"/>
        </w:rPr>
      </w:pPr>
    </w:p>
    <w:p>
      <w:pPr>
        <w:widowControl w:val="0"/>
        <w:snapToGrid w:val="0"/>
        <w:spacing w:before="180" w:beforeLines="50" w:after="180" w:afterLines="50" w:line="240" w:lineRule="auto"/>
        <w:jc w:val="both"/>
        <w:rPr>
          <w:rFonts w:ascii="Times New Roman" w:hAnsi="Times New Roman"/>
          <w:sz w:val="20"/>
          <w:szCs w:val="20"/>
        </w:rPr>
      </w:pPr>
    </w:p>
    <w:p>
      <w:pPr>
        <w:widowControl w:val="0"/>
        <w:snapToGrid w:val="0"/>
        <w:spacing w:before="180" w:beforeLines="50" w:after="180" w:afterLines="50" w:line="240" w:lineRule="auto"/>
        <w:jc w:val="center"/>
        <w:rPr>
          <w:rFonts w:ascii="Times New Roman" w:hAnsi="Times New Roman"/>
          <w:sz w:val="20"/>
          <w:szCs w:val="20"/>
        </w:rPr>
      </w:pPr>
      <w:r>
        <w:drawing>
          <wp:inline distT="0" distB="0" distL="0" distR="0">
            <wp:extent cx="3869690" cy="29032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69952" cy="2903163"/>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3.2-1 Simulation results for hopping for RedCap UE (3 hops, 60MHz)</w:t>
      </w:r>
    </w:p>
    <w:p>
      <w:pPr>
        <w:widowControl w:val="0"/>
        <w:snapToGrid w:val="0"/>
        <w:spacing w:before="180" w:beforeLines="50" w:after="180" w:afterLines="50" w:line="240" w:lineRule="auto"/>
        <w:jc w:val="center"/>
        <w:rPr>
          <w:rFonts w:ascii="Times New Roman" w:hAnsi="Times New Roman"/>
          <w:sz w:val="20"/>
          <w:szCs w:val="20"/>
        </w:rPr>
      </w:pPr>
      <w:r>
        <w:drawing>
          <wp:inline distT="0" distB="0" distL="0" distR="0">
            <wp:extent cx="4068445" cy="30518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068530" cy="3052133"/>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3.2-2 Simulation results for hopping for RedCap UE (5 hops, 100MHz)</w:t>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Table 3.2-1 Simulation results for hopping in FR 1, InF-SH scenario (UE Antenna = [1,1,1,1,1])</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93"/>
        <w:gridCol w:w="1276"/>
        <w:gridCol w:w="992"/>
        <w:gridCol w:w="992"/>
        <w:gridCol w:w="992"/>
        <w:gridCol w:w="113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Cases</w:t>
            </w:r>
          </w:p>
        </w:tc>
        <w:tc>
          <w:tcPr>
            <w:tcW w:w="1276" w:type="dxa"/>
          </w:tcPr>
          <w:p>
            <w:pPr>
              <w:widowControl w:val="0"/>
              <w:snapToGrid w:val="0"/>
              <w:spacing w:before="180" w:beforeLines="50" w:after="180" w:afterLines="50" w:line="240" w:lineRule="auto"/>
              <w:jc w:val="center"/>
              <w:rPr>
                <w:rFonts w:ascii="Times New Roman" w:hAnsi="Times New Roman"/>
                <w:sz w:val="20"/>
                <w:szCs w:val="20"/>
              </w:rPr>
            </w:pP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50%</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67%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80%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90%</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Requirements met? (Yes/No)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 InF-SH FR1, 20MHz Only</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1.24</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1.55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1.86</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2.60</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 InF-SH FR1, 20+20+20 MHz, without Φ adjustment</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1.56</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2.01</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2.45</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3.05</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3, InF-SH FR1, 20+20+20 MHz, with Φ adjustment</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0.72</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1.07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1.35</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1.77</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4, InF-SH FR1, Full 60MHz</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0.61</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0.83</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1.17</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1.79</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5, InF-SH FR1, 5x20 MHz, without Φ adjustment</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2.14</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2.89</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3.77</w:t>
            </w:r>
          </w:p>
        </w:tc>
        <w:tc>
          <w:tcPr>
            <w:tcW w:w="1134"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4.98</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6, InF-SH FR1, 5x20 MHz, with Φ adjustment</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0.27</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0.37</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0.45</w:t>
            </w:r>
          </w:p>
        </w:tc>
        <w:tc>
          <w:tcPr>
            <w:tcW w:w="1134"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0.57</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7, InF-SH FR1, Full 100MHz</w:t>
            </w:r>
          </w:p>
        </w:tc>
        <w:tc>
          <w:tcPr>
            <w:tcW w:w="1276"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0.17</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0.24</w:t>
            </w:r>
          </w:p>
        </w:tc>
        <w:tc>
          <w:tcPr>
            <w:tcW w:w="992"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0.32</w:t>
            </w:r>
          </w:p>
        </w:tc>
        <w:tc>
          <w:tcPr>
            <w:tcW w:w="1134" w:type="dxa"/>
            <w:shd w:val="clear" w:color="auto" w:fill="auto"/>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0.42</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bl>
    <w:p>
      <w:pPr>
        <w:snapToGrid w:val="0"/>
        <w:spacing w:after="180" w:afterLines="50" w:line="240" w:lineRule="auto"/>
      </w:pPr>
    </w:p>
    <w:p>
      <w:pPr>
        <w:widowControl w:val="0"/>
        <w:snapToGrid w:val="0"/>
        <w:spacing w:before="180" w:beforeLines="50" w:after="180" w:afterLines="50" w:line="240" w:lineRule="auto"/>
        <w:jc w:val="both"/>
        <w:rPr>
          <w:rFonts w:ascii="Times New Roman" w:hAnsi="Times New Roman"/>
          <w:b/>
          <w:sz w:val="20"/>
          <w:szCs w:val="20"/>
        </w:rPr>
      </w:pPr>
      <w:r>
        <w:rPr>
          <w:rFonts w:ascii="Times New Roman" w:hAnsi="Times New Roman"/>
          <w:b/>
          <w:sz w:val="20"/>
          <w:szCs w:val="20"/>
        </w:rPr>
        <w:t>For the evaluation of Doppler</w:t>
      </w:r>
      <w:r>
        <w:rPr>
          <w:rFonts w:hint="eastAsia" w:ascii="Times New Roman" w:hAnsi="Times New Roman"/>
          <w:b/>
          <w:sz w:val="20"/>
          <w:szCs w:val="20"/>
        </w:rPr>
        <w:t>/CFO</w:t>
      </w:r>
      <w:r>
        <w:rPr>
          <w:rFonts w:ascii="Times New Roman" w:hAnsi="Times New Roman"/>
          <w:b/>
          <w:sz w:val="20"/>
          <w:szCs w:val="20"/>
        </w:rPr>
        <w:t xml:space="preserve"> impact:</w:t>
      </w:r>
    </w:p>
    <w:p>
      <w:pPr>
        <w:snapToGrid w:val="0"/>
        <w:spacing w:after="180" w:afterLines="50" w:line="240" w:lineRule="auto"/>
      </w:pPr>
      <w:r>
        <w:rPr>
          <w:rFonts w:ascii="Times New Roman" w:hAnsi="Times New Roman"/>
          <w:sz w:val="20"/>
          <w:szCs w:val="20"/>
        </w:rPr>
        <w:t>The evaluation results for FR1 in InF-SH scenario for assessing Doppler impact are shown in the following Figure 3.2-3 and Table 3.2.2</w:t>
      </w:r>
      <w:r>
        <w:rPr>
          <w:rFonts w:hint="eastAsia" w:ascii="Times New Roman" w:hAnsi="Times New Roman"/>
          <w:sz w:val="20"/>
          <w:szCs w:val="20"/>
        </w:rPr>
        <w:t>.</w:t>
      </w:r>
    </w:p>
    <w:p>
      <w:pPr>
        <w:snapToGrid w:val="0"/>
        <w:spacing w:after="180" w:afterLines="50" w:line="240" w:lineRule="auto"/>
        <w:jc w:val="center"/>
      </w:pPr>
      <w:r>
        <w:drawing>
          <wp:inline distT="0" distB="0" distL="0" distR="0">
            <wp:extent cx="3363595" cy="252158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368003" cy="2525090"/>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3.2-3 Simulation results for hopping for RedCap UE </w:t>
      </w:r>
      <w:r>
        <w:rPr>
          <w:rFonts w:hint="eastAsia" w:ascii="Times New Roman" w:hAnsi="Times New Roman"/>
          <w:sz w:val="20"/>
          <w:szCs w:val="20"/>
        </w:rPr>
        <w:t xml:space="preserve">with </w:t>
      </w:r>
      <w:r>
        <w:rPr>
          <w:rFonts w:ascii="Times New Roman" w:hAnsi="Times New Roman"/>
          <w:sz w:val="20"/>
          <w:szCs w:val="20"/>
        </w:rPr>
        <w:t>Doppler impact (FR1, InF-SH scenario)</w:t>
      </w:r>
    </w:p>
    <w:p>
      <w:pPr>
        <w:snapToGrid w:val="0"/>
        <w:spacing w:after="180" w:afterLines="50" w:line="240" w:lineRule="auto"/>
        <w:rPr>
          <w:rFonts w:ascii="Times New Roman" w:hAnsi="Times New Roman"/>
          <w:sz w:val="20"/>
        </w:rPr>
      </w:pP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Table 3.2-2 Simulation results for hopping for RedCap UE </w:t>
      </w:r>
      <w:r>
        <w:rPr>
          <w:rFonts w:hint="eastAsia" w:ascii="Times New Roman" w:hAnsi="Times New Roman"/>
          <w:sz w:val="20"/>
          <w:szCs w:val="20"/>
        </w:rPr>
        <w:t xml:space="preserve">with </w:t>
      </w:r>
      <w:r>
        <w:rPr>
          <w:rFonts w:ascii="Times New Roman" w:hAnsi="Times New Roman"/>
          <w:sz w:val="20"/>
          <w:szCs w:val="20"/>
        </w:rPr>
        <w:t xml:space="preserve">Doppler impact in FR 1, InF-SH scenario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76"/>
        <w:gridCol w:w="993"/>
        <w:gridCol w:w="992"/>
        <w:gridCol w:w="992"/>
        <w:gridCol w:w="992"/>
        <w:gridCol w:w="113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Cases</w:t>
            </w:r>
          </w:p>
        </w:tc>
        <w:tc>
          <w:tcPr>
            <w:tcW w:w="993" w:type="dxa"/>
          </w:tcPr>
          <w:p>
            <w:pPr>
              <w:widowControl w:val="0"/>
              <w:snapToGrid w:val="0"/>
              <w:spacing w:before="180" w:beforeLines="50" w:after="180" w:afterLines="50" w:line="240" w:lineRule="auto"/>
              <w:jc w:val="center"/>
              <w:rPr>
                <w:rFonts w:ascii="Times New Roman" w:hAnsi="Times New Roman"/>
                <w:sz w:val="20"/>
                <w:szCs w:val="20"/>
              </w:rPr>
            </w:pP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50%</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67%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80%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90%</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Requirements met? (Yes/No)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8, InF-SH FR1, 5x20 MHz, Doppler 0 Hz</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0.179</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0.238</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0.325</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0.428</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9, InF-SH FR1, 5x20 MHz, Doppler 10 Hz</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0.195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0.257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0.347</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0.429</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10, InF-SH FR1, 5x20 MHz, Doppler 100 Hz</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0.195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0.269</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0.336</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0.427</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11, InF-SH FR1, 5x20 MHz, Doppler 200Hz</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0.184</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0.258</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0.296</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0.466</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12, InF-SH FR1, 5x20 MHz, Doppler 500Hz</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0.226</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0.277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0.404</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0.523</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13, InF-SH FR1, 5x20 MHz, Doppler 1000Hz</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0.407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0.526</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0.644</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0.814</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bl>
    <w:p>
      <w:pPr>
        <w:widowControl w:val="0"/>
        <w:snapToGrid w:val="0"/>
        <w:spacing w:before="180" w:beforeLines="50" w:after="180" w:afterLines="50" w:line="240" w:lineRule="auto"/>
        <w:jc w:val="both"/>
        <w:rPr>
          <w:rFonts w:ascii="Times New Roman" w:hAnsi="Times New Roman"/>
          <w:b/>
          <w:sz w:val="20"/>
          <w:szCs w:val="20"/>
        </w:rPr>
      </w:pPr>
    </w:p>
    <w:p>
      <w:pPr>
        <w:widowControl w:val="0"/>
        <w:snapToGrid w:val="0"/>
        <w:spacing w:before="180" w:beforeLines="50" w:after="180" w:afterLines="50" w:line="240" w:lineRule="auto"/>
        <w:jc w:val="both"/>
        <w:rPr>
          <w:rFonts w:ascii="Times New Roman" w:hAnsi="Times New Roman"/>
          <w:b/>
          <w:sz w:val="20"/>
          <w:szCs w:val="20"/>
        </w:rPr>
      </w:pPr>
      <w:r>
        <w:rPr>
          <w:rFonts w:ascii="Times New Roman" w:hAnsi="Times New Roman"/>
          <w:b/>
          <w:sz w:val="20"/>
          <w:szCs w:val="20"/>
        </w:rPr>
        <w:t>For the evaluation of phase offset impact:</w:t>
      </w:r>
    </w:p>
    <w:p>
      <w:pPr>
        <w:snapToGrid w:val="0"/>
        <w:spacing w:after="180" w:afterLines="50" w:line="240" w:lineRule="auto"/>
      </w:pPr>
      <w:r>
        <w:rPr>
          <w:rFonts w:ascii="Times New Roman" w:hAnsi="Times New Roman"/>
          <w:sz w:val="20"/>
          <w:szCs w:val="20"/>
        </w:rPr>
        <w:t>The evaluation results for FR1 in InF-SH scenario for assessing phase offset impact are shown in the following Figure 3.2-4 and Table 3.2.3</w:t>
      </w:r>
      <w:r>
        <w:rPr>
          <w:rFonts w:hint="eastAsia" w:ascii="Times New Roman" w:hAnsi="Times New Roman"/>
          <w:sz w:val="20"/>
          <w:szCs w:val="20"/>
        </w:rPr>
        <w:t>.</w:t>
      </w:r>
    </w:p>
    <w:p>
      <w:pPr>
        <w:widowControl w:val="0"/>
        <w:snapToGrid w:val="0"/>
        <w:spacing w:before="180" w:beforeLines="50" w:after="180" w:afterLines="50" w:line="240" w:lineRule="auto"/>
        <w:jc w:val="both"/>
        <w:rPr>
          <w:rFonts w:ascii="Times New Roman" w:hAnsi="Times New Roman"/>
          <w:sz w:val="20"/>
          <w:szCs w:val="20"/>
        </w:rPr>
      </w:pPr>
    </w:p>
    <w:p>
      <w:pPr>
        <w:snapToGrid w:val="0"/>
        <w:spacing w:after="180" w:afterLines="50" w:line="240" w:lineRule="auto"/>
        <w:jc w:val="center"/>
      </w:pPr>
      <w:r>
        <w:drawing>
          <wp:inline distT="0" distB="0" distL="0" distR="0">
            <wp:extent cx="3841115" cy="2879725"/>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841388" cy="2880000"/>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3.2-4 Simulation results for hopping for RedCap UE </w:t>
      </w:r>
      <w:r>
        <w:rPr>
          <w:rFonts w:hint="eastAsia" w:ascii="Times New Roman" w:hAnsi="Times New Roman"/>
          <w:sz w:val="20"/>
          <w:szCs w:val="20"/>
        </w:rPr>
        <w:t>with phase error</w:t>
      </w:r>
      <w:r>
        <w:rPr>
          <w:rFonts w:ascii="Times New Roman" w:hAnsi="Times New Roman"/>
          <w:sz w:val="20"/>
          <w:szCs w:val="20"/>
        </w:rPr>
        <w:t xml:space="preserve"> (FR 1, InF-SH scenario)</w:t>
      </w:r>
    </w:p>
    <w:p>
      <w:pPr>
        <w:snapToGrid w:val="0"/>
        <w:spacing w:after="180" w:afterLines="50" w:line="240" w:lineRule="auto"/>
      </w:pP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Table 3.2-3 Simulation results for hopping for RedCap UE </w:t>
      </w:r>
      <w:r>
        <w:rPr>
          <w:rFonts w:hint="eastAsia" w:ascii="Times New Roman" w:hAnsi="Times New Roman"/>
          <w:sz w:val="20"/>
          <w:szCs w:val="20"/>
        </w:rPr>
        <w:t>with phase error</w:t>
      </w:r>
      <w:r>
        <w:rPr>
          <w:rFonts w:ascii="Times New Roman" w:hAnsi="Times New Roman"/>
          <w:sz w:val="20"/>
          <w:szCs w:val="20"/>
        </w:rPr>
        <w:t xml:space="preserve"> in FR 1, InF-SH scenario</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76"/>
        <w:gridCol w:w="993"/>
        <w:gridCol w:w="992"/>
        <w:gridCol w:w="992"/>
        <w:gridCol w:w="992"/>
        <w:gridCol w:w="113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Cases</w:t>
            </w:r>
          </w:p>
        </w:tc>
        <w:tc>
          <w:tcPr>
            <w:tcW w:w="993" w:type="dxa"/>
          </w:tcPr>
          <w:p>
            <w:pPr>
              <w:widowControl w:val="0"/>
              <w:snapToGrid w:val="0"/>
              <w:spacing w:before="180" w:beforeLines="50" w:after="180" w:afterLines="50" w:line="240" w:lineRule="auto"/>
              <w:jc w:val="center"/>
              <w:rPr>
                <w:rFonts w:ascii="Times New Roman" w:hAnsi="Times New Roman"/>
                <w:sz w:val="20"/>
                <w:szCs w:val="20"/>
              </w:rPr>
            </w:pP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50%</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67%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80%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90%</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Requirements met? (Yes/No)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14, InF-SH FR1, 5x20 MHz, Phase offset 0.01*2</w:t>
            </w:r>
            <m:oMath>
              <m:r>
                <m:rPr>
                  <m:sty m:val="p"/>
                </m:rPr>
                <w:rPr>
                  <w:rFonts w:ascii="Cambria Math" w:hAnsi="Cambria Math"/>
                  <w:sz w:val="20"/>
                  <w:szCs w:val="20"/>
                </w:rPr>
                <m:t>π</m:t>
              </m:r>
            </m:oMath>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0.180</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0.249</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0.347</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0.452</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15, InF-SH FR1, 5x20 MHz, Phase offset 0.05*2</w:t>
            </w:r>
            <m:oMath>
              <m:r>
                <m:rPr>
                  <m:sty m:val="p"/>
                </m:rPr>
                <w:rPr>
                  <w:rFonts w:ascii="Cambria Math" w:hAnsi="Cambria Math"/>
                  <w:sz w:val="20"/>
                  <w:szCs w:val="20"/>
                </w:rPr>
                <m:t>π</m:t>
              </m:r>
            </m:oMath>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0.198</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0.273</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0.361</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0.441</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16, InF-SH FR1, 5x20 MHz, Phase offset 0.1*2</w:t>
            </w:r>
            <m:oMath>
              <m:r>
                <m:rPr>
                  <m:sty m:val="p"/>
                </m:rPr>
                <w:rPr>
                  <w:rFonts w:ascii="Cambria Math" w:hAnsi="Cambria Math"/>
                  <w:sz w:val="20"/>
                  <w:szCs w:val="20"/>
                </w:rPr>
                <m:t>π</m:t>
              </m:r>
            </m:oMath>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0.262</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0.323</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0.440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0.567</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17, InF-SH FR1, 5x20 MHz, Phase offset 0.2*2</w:t>
            </w:r>
            <m:oMath>
              <m:r>
                <m:rPr>
                  <m:sty m:val="p"/>
                </m:rPr>
                <w:rPr>
                  <w:rFonts w:ascii="Cambria Math" w:hAnsi="Cambria Math"/>
                  <w:sz w:val="20"/>
                  <w:szCs w:val="20"/>
                </w:rPr>
                <m:t>π</m:t>
              </m:r>
            </m:oMath>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0.422</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0.563</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0.677</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0.968</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18, InF-SH FR1, 5x20 MHz, Phase offset 0.5*2</w:t>
            </w:r>
            <m:oMath>
              <m:r>
                <m:rPr>
                  <m:sty m:val="p"/>
                </m:rPr>
                <w:rPr>
                  <w:rFonts w:ascii="Cambria Math" w:hAnsi="Cambria Math"/>
                  <w:sz w:val="20"/>
                  <w:szCs w:val="20"/>
                </w:rPr>
                <m:t>π</m:t>
              </m:r>
            </m:oMath>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0.915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1.386</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1.784</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2.324</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19, InF-SH FR1, 5x20 MHz, Phase offset 1*2</w:t>
            </w:r>
            <m:oMath>
              <m:r>
                <m:rPr>
                  <m:sty m:val="p"/>
                </m:rPr>
                <w:rPr>
                  <w:rFonts w:ascii="Cambria Math" w:hAnsi="Cambria Math"/>
                  <w:sz w:val="20"/>
                  <w:szCs w:val="20"/>
                </w:rPr>
                <m:t>π</m:t>
              </m:r>
            </m:oMath>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2.145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2.874</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3.769</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4.981</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bl>
    <w:p>
      <w:pPr>
        <w:snapToGrid w:val="0"/>
        <w:spacing w:after="180" w:afterLines="50" w:line="240" w:lineRule="auto"/>
        <w:rPr>
          <w:rFonts w:ascii="Times New Roman" w:hAnsi="Times New Roman"/>
          <w:sz w:val="20"/>
        </w:rPr>
      </w:pPr>
    </w:p>
    <w:p>
      <w:pPr>
        <w:widowControl w:val="0"/>
        <w:snapToGrid w:val="0"/>
        <w:spacing w:before="180" w:beforeLines="50" w:after="180" w:afterLines="50" w:line="240" w:lineRule="auto"/>
        <w:jc w:val="both"/>
        <w:rPr>
          <w:rFonts w:ascii="Times New Roman" w:hAnsi="Times New Roman"/>
          <w:b/>
          <w:sz w:val="20"/>
          <w:szCs w:val="20"/>
        </w:rPr>
      </w:pPr>
      <w:r>
        <w:rPr>
          <w:rFonts w:ascii="Times New Roman" w:hAnsi="Times New Roman"/>
          <w:b/>
          <w:sz w:val="20"/>
          <w:szCs w:val="20"/>
        </w:rPr>
        <w:t>For the evaluation of timing offset impact:</w:t>
      </w:r>
    </w:p>
    <w:p>
      <w:pPr>
        <w:snapToGrid w:val="0"/>
        <w:spacing w:after="180" w:afterLines="50" w:line="240" w:lineRule="auto"/>
      </w:pPr>
      <w:r>
        <w:rPr>
          <w:rFonts w:ascii="Times New Roman" w:hAnsi="Times New Roman"/>
          <w:sz w:val="20"/>
          <w:szCs w:val="20"/>
        </w:rPr>
        <w:t>The evaluation results for FR1 in InF-SH scenario for assessing timing offset impact are shown in the following Figure 3.2-5 and Table 3.2.4</w:t>
      </w:r>
      <w:r>
        <w:rPr>
          <w:rFonts w:hint="eastAsia" w:ascii="Times New Roman" w:hAnsi="Times New Roman"/>
          <w:sz w:val="20"/>
          <w:szCs w:val="20"/>
        </w:rPr>
        <w:t>.</w:t>
      </w:r>
    </w:p>
    <w:p>
      <w:pPr>
        <w:widowControl w:val="0"/>
        <w:snapToGrid w:val="0"/>
        <w:spacing w:before="180" w:beforeLines="50" w:after="180" w:afterLines="50" w:line="240" w:lineRule="auto"/>
        <w:jc w:val="both"/>
        <w:rPr>
          <w:rFonts w:ascii="Times New Roman" w:hAnsi="Times New Roman"/>
          <w:sz w:val="20"/>
          <w:szCs w:val="20"/>
        </w:rPr>
      </w:pPr>
    </w:p>
    <w:p>
      <w:pPr>
        <w:snapToGrid w:val="0"/>
        <w:spacing w:after="180" w:afterLines="50" w:line="240" w:lineRule="auto"/>
        <w:jc w:val="center"/>
      </w:pPr>
      <w:r>
        <w:drawing>
          <wp:inline distT="0" distB="0" distL="0" distR="0">
            <wp:extent cx="3841115" cy="2879725"/>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841388" cy="2880000"/>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Figure 3.2-5 Simulation results for hopping for RedCap UE </w:t>
      </w:r>
      <w:r>
        <w:rPr>
          <w:rFonts w:hint="eastAsia" w:ascii="Times New Roman" w:hAnsi="Times New Roman"/>
          <w:sz w:val="20"/>
          <w:szCs w:val="20"/>
        </w:rPr>
        <w:t>with timing error</w:t>
      </w:r>
    </w:p>
    <w:p>
      <w:pPr>
        <w:widowControl w:val="0"/>
        <w:snapToGrid w:val="0"/>
        <w:spacing w:before="180" w:beforeLines="50" w:after="180" w:afterLines="50" w:line="240" w:lineRule="auto"/>
        <w:rPr>
          <w:rFonts w:ascii="Times New Roman" w:hAnsi="Times New Roman"/>
          <w:sz w:val="20"/>
          <w:szCs w:val="20"/>
        </w:rPr>
      </w:pP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 xml:space="preserve">Table 3.2-4 Simulation results for hopping for RedCap UE </w:t>
      </w:r>
      <w:r>
        <w:rPr>
          <w:rFonts w:hint="eastAsia" w:ascii="Times New Roman" w:hAnsi="Times New Roman"/>
          <w:sz w:val="20"/>
          <w:szCs w:val="20"/>
        </w:rPr>
        <w:t>with timing error</w:t>
      </w:r>
      <w:r>
        <w:rPr>
          <w:rFonts w:ascii="Times New Roman" w:hAnsi="Times New Roman"/>
          <w:sz w:val="20"/>
          <w:szCs w:val="20"/>
        </w:rPr>
        <w:t xml:space="preserve"> in FR 1, InF-SH scenario </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376"/>
        <w:gridCol w:w="993"/>
        <w:gridCol w:w="992"/>
        <w:gridCol w:w="992"/>
        <w:gridCol w:w="992"/>
        <w:gridCol w:w="1134"/>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Cases</w:t>
            </w:r>
          </w:p>
        </w:tc>
        <w:tc>
          <w:tcPr>
            <w:tcW w:w="993" w:type="dxa"/>
          </w:tcPr>
          <w:p>
            <w:pPr>
              <w:widowControl w:val="0"/>
              <w:snapToGrid w:val="0"/>
              <w:spacing w:before="180" w:beforeLines="50" w:after="180" w:afterLines="50" w:line="240" w:lineRule="auto"/>
              <w:jc w:val="center"/>
              <w:rPr>
                <w:rFonts w:ascii="Times New Roman" w:hAnsi="Times New Roman"/>
                <w:sz w:val="20"/>
                <w:szCs w:val="20"/>
              </w:rPr>
            </w:pP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50%</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67%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80%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90%</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Requirements met? (Yes/No)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20, InF-SH FR1, 5x20 MHz, STD=0</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0.179</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0.238</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0.325</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0.428</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21, InF-SH FR1, 5x20 MHz, STD=0.5 ns</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0.205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0.273</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0.333</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0.497</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22, InF-SH FR1, 5x20 MHz, STD=1 ns</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0.254</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0.327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0.465</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0.558</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23, InF-SH FR1, 5x20 MHz, STD=2 ns</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0.375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0.497</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0.618</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0.873</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24, InF-SH FR1, 5x20 MHz, STD=3 ns</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0.496</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0.659</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0.910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1.146</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376"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25, InF-SH FR1, 5x20 MHz, STD=4 ns</w:t>
            </w:r>
          </w:p>
        </w:tc>
        <w:tc>
          <w:tcPr>
            <w:tcW w:w="993"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0.645</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0.832</w:t>
            </w:r>
          </w:p>
        </w:tc>
        <w:tc>
          <w:tcPr>
            <w:tcW w:w="99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1.106</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1.336</w:t>
            </w:r>
          </w:p>
        </w:tc>
        <w:tc>
          <w:tcPr>
            <w:tcW w:w="1701"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No</w:t>
            </w:r>
          </w:p>
        </w:tc>
      </w:tr>
    </w:tbl>
    <w:p>
      <w:pPr>
        <w:snapToGrid w:val="0"/>
        <w:spacing w:after="180" w:afterLines="50" w:line="240" w:lineRule="auto"/>
        <w:rPr>
          <w:rFonts w:ascii="Times New Roman" w:hAnsi="Times New Roman"/>
          <w:b/>
          <w:i/>
          <w:sz w:val="20"/>
        </w:rPr>
      </w:pPr>
    </w:p>
    <w:p>
      <w:pPr>
        <w:widowControl w:val="0"/>
        <w:snapToGrid w:val="0"/>
        <w:spacing w:before="180" w:beforeLines="50" w:after="180" w:afterLines="50" w:line="240" w:lineRule="auto"/>
        <w:jc w:val="both"/>
        <w:rPr>
          <w:rFonts w:ascii="Times New Roman" w:hAnsi="Times New Roman"/>
          <w:sz w:val="20"/>
          <w:szCs w:val="20"/>
        </w:rPr>
      </w:pPr>
    </w:p>
    <w:p>
      <w:pPr>
        <w:widowControl w:val="0"/>
        <w:snapToGrid w:val="0"/>
        <w:spacing w:before="180" w:beforeLines="50" w:after="180" w:afterLines="50" w:line="240" w:lineRule="auto"/>
        <w:jc w:val="both"/>
        <w:rPr>
          <w:rFonts w:ascii="Times New Roman" w:hAnsi="Times New Roman"/>
          <w:b/>
          <w:sz w:val="20"/>
          <w:szCs w:val="20"/>
        </w:rPr>
      </w:pPr>
      <w:r>
        <w:rPr>
          <w:rFonts w:ascii="Times New Roman" w:hAnsi="Times New Roman"/>
          <w:b/>
          <w:sz w:val="20"/>
          <w:szCs w:val="20"/>
        </w:rPr>
        <w:t>For the evaluation of FR2 InF-SH:</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simulation results for FR2 in InF-SH </w:t>
      </w:r>
      <w:r>
        <w:rPr>
          <w:rFonts w:hint="eastAsia" w:ascii="Times New Roman" w:hAnsi="Times New Roman"/>
          <w:sz w:val="20"/>
          <w:szCs w:val="20"/>
          <w:lang w:eastAsia="zh-CN"/>
        </w:rPr>
        <w:t>scenario</w:t>
      </w:r>
      <w:r>
        <w:rPr>
          <w:rFonts w:ascii="Times New Roman" w:hAnsi="Times New Roman"/>
          <w:sz w:val="20"/>
          <w:szCs w:val="20"/>
        </w:rPr>
        <w:t xml:space="preserve"> are shown in the following Figure 3.2-6, Figure 3.2-7 and Table 3.2-5</w:t>
      </w:r>
      <w:r>
        <w:rPr>
          <w:rFonts w:hint="eastAsia" w:ascii="Times New Roman" w:hAnsi="Times New Roman"/>
          <w:sz w:val="20"/>
          <w:szCs w:val="20"/>
        </w:rPr>
        <w:t xml:space="preserve">. </w:t>
      </w:r>
    </w:p>
    <w:p>
      <w:pPr>
        <w:widowControl w:val="0"/>
        <w:snapToGrid w:val="0"/>
        <w:spacing w:before="180" w:beforeLines="50" w:after="180" w:afterLines="50" w:line="240" w:lineRule="auto"/>
        <w:jc w:val="center"/>
        <w:rPr>
          <w:rFonts w:ascii="Times New Roman" w:hAnsi="Times New Roman"/>
          <w:sz w:val="20"/>
          <w:szCs w:val="20"/>
        </w:rPr>
      </w:pPr>
      <w:r>
        <w:rPr>
          <w:rFonts w:hint="eastAsia"/>
        </w:rPr>
        <w:drawing>
          <wp:inline distT="0" distB="0" distL="0" distR="0">
            <wp:extent cx="3536950" cy="265049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38948" cy="2651972"/>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3.2-6 Simulation results for hopping for RedCap UE (</w:t>
      </w:r>
      <w:r>
        <w:rPr>
          <w:rFonts w:hint="eastAsia" w:ascii="Times New Roman" w:hAnsi="Times New Roman"/>
          <w:sz w:val="20"/>
          <w:szCs w:val="20"/>
        </w:rPr>
        <w:t>2</w:t>
      </w:r>
      <w:r>
        <w:rPr>
          <w:rFonts w:ascii="Times New Roman" w:hAnsi="Times New Roman"/>
          <w:sz w:val="20"/>
          <w:szCs w:val="20"/>
        </w:rPr>
        <w:t xml:space="preserve"> hops, 200MHz)</w:t>
      </w:r>
    </w:p>
    <w:p>
      <w:pPr>
        <w:widowControl w:val="0"/>
        <w:snapToGrid w:val="0"/>
        <w:spacing w:before="180" w:beforeLines="50" w:after="180" w:afterLines="50" w:line="240" w:lineRule="auto"/>
        <w:jc w:val="center"/>
        <w:rPr>
          <w:rFonts w:ascii="Times New Roman" w:hAnsi="Times New Roman"/>
          <w:sz w:val="20"/>
          <w:szCs w:val="20"/>
        </w:rPr>
      </w:pPr>
      <w:r>
        <w:drawing>
          <wp:inline distT="0" distB="0" distL="0" distR="0">
            <wp:extent cx="3578860" cy="268160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581296" cy="2683275"/>
                    </a:xfrm>
                    <a:prstGeom prst="rect">
                      <a:avLst/>
                    </a:prstGeom>
                    <a:noFill/>
                    <a:ln>
                      <a:noFill/>
                    </a:ln>
                  </pic:spPr>
                </pic:pic>
              </a:graphicData>
            </a:graphic>
          </wp:inline>
        </w:drawing>
      </w: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Figure 3.2-7 Simulation results for hopping for RedCap UE (</w:t>
      </w:r>
      <w:r>
        <w:rPr>
          <w:rFonts w:hint="eastAsia" w:ascii="Times New Roman" w:hAnsi="Times New Roman"/>
          <w:sz w:val="20"/>
          <w:szCs w:val="20"/>
        </w:rPr>
        <w:t>3</w:t>
      </w:r>
      <w:r>
        <w:rPr>
          <w:rFonts w:ascii="Times New Roman" w:hAnsi="Times New Roman"/>
          <w:sz w:val="20"/>
          <w:szCs w:val="20"/>
        </w:rPr>
        <w:t xml:space="preserve"> hops, 300MHz)</w:t>
      </w:r>
    </w:p>
    <w:p>
      <w:pPr>
        <w:snapToGrid w:val="0"/>
        <w:spacing w:before="180" w:beforeLines="50" w:after="180" w:afterLines="50" w:line="240" w:lineRule="auto"/>
        <w:jc w:val="both"/>
        <w:rPr>
          <w:sz w:val="20"/>
        </w:rPr>
      </w:pPr>
    </w:p>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Table 3.2-5 Simulation results for hopping in FR 2, InF-SH scenario</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02"/>
        <w:gridCol w:w="1312"/>
        <w:gridCol w:w="1247"/>
        <w:gridCol w:w="1188"/>
        <w:gridCol w:w="1080"/>
        <w:gridCol w:w="1134"/>
        <w:gridCol w:w="18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Cases</w:t>
            </w:r>
          </w:p>
        </w:tc>
        <w:tc>
          <w:tcPr>
            <w:tcW w:w="1312" w:type="dxa"/>
          </w:tcPr>
          <w:p>
            <w:pPr>
              <w:widowControl w:val="0"/>
              <w:snapToGrid w:val="0"/>
              <w:spacing w:before="180" w:beforeLines="50" w:after="180" w:afterLines="50" w:line="240" w:lineRule="auto"/>
              <w:jc w:val="center"/>
              <w:rPr>
                <w:rFonts w:ascii="Times New Roman" w:hAnsi="Times New Roman"/>
                <w:sz w:val="20"/>
                <w:szCs w:val="20"/>
              </w:rPr>
            </w:pPr>
          </w:p>
        </w:tc>
        <w:tc>
          <w:tcPr>
            <w:tcW w:w="1247"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50%</w:t>
            </w:r>
          </w:p>
        </w:tc>
        <w:tc>
          <w:tcPr>
            <w:tcW w:w="1188"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67%</w:t>
            </w:r>
          </w:p>
        </w:tc>
        <w:tc>
          <w:tcPr>
            <w:tcW w:w="1080"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80%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90%</w:t>
            </w:r>
          </w:p>
        </w:tc>
        <w:tc>
          <w:tcPr>
            <w:tcW w:w="181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Requirements met? (Yes/No)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26, InF-SH FR2,100MHz Only</w:t>
            </w:r>
          </w:p>
        </w:tc>
        <w:tc>
          <w:tcPr>
            <w:tcW w:w="1312"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1247"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0.26</w:t>
            </w:r>
          </w:p>
        </w:tc>
        <w:tc>
          <w:tcPr>
            <w:tcW w:w="1188"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0.35</w:t>
            </w:r>
          </w:p>
        </w:tc>
        <w:tc>
          <w:tcPr>
            <w:tcW w:w="1080"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0.41</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0.50</w:t>
            </w:r>
          </w:p>
        </w:tc>
        <w:tc>
          <w:tcPr>
            <w:tcW w:w="181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27, InF-SH FR2, 100+100 MHz, with Φ adjustment</w:t>
            </w:r>
          </w:p>
        </w:tc>
        <w:tc>
          <w:tcPr>
            <w:tcW w:w="1312"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1247"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.11</w:t>
            </w:r>
          </w:p>
        </w:tc>
        <w:tc>
          <w:tcPr>
            <w:tcW w:w="1188"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.13</w:t>
            </w:r>
          </w:p>
        </w:tc>
        <w:tc>
          <w:tcPr>
            <w:tcW w:w="1080"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.16</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.186</w:t>
            </w:r>
          </w:p>
        </w:tc>
        <w:tc>
          <w:tcPr>
            <w:tcW w:w="181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28, InF-SH FR2, Full 200MHz</w:t>
            </w:r>
          </w:p>
        </w:tc>
        <w:tc>
          <w:tcPr>
            <w:tcW w:w="1312"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1247"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.092</w:t>
            </w:r>
          </w:p>
        </w:tc>
        <w:tc>
          <w:tcPr>
            <w:tcW w:w="1188"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.12</w:t>
            </w:r>
          </w:p>
        </w:tc>
        <w:tc>
          <w:tcPr>
            <w:tcW w:w="1080"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.15</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.185</w:t>
            </w:r>
          </w:p>
        </w:tc>
        <w:tc>
          <w:tcPr>
            <w:tcW w:w="181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29, InF-SH FR2,100+100+100 MHz, with Φ adjustment</w:t>
            </w:r>
          </w:p>
        </w:tc>
        <w:tc>
          <w:tcPr>
            <w:tcW w:w="1312"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1247" w:type="dxa"/>
          </w:tcPr>
          <w:p>
            <w:pPr>
              <w:widowControl w:val="0"/>
              <w:snapToGrid w:val="0"/>
              <w:spacing w:before="180" w:beforeLines="50" w:after="180" w:afterLines="50" w:line="240" w:lineRule="auto"/>
              <w:jc w:val="center"/>
              <w:rPr>
                <w:rFonts w:ascii="Times New Roman" w:hAnsi="Times New Roman"/>
                <w:sz w:val="20"/>
                <w:szCs w:val="20"/>
              </w:rPr>
            </w:pPr>
          </w:p>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.065</w:t>
            </w:r>
          </w:p>
        </w:tc>
        <w:tc>
          <w:tcPr>
            <w:tcW w:w="1188" w:type="dxa"/>
          </w:tcPr>
          <w:p>
            <w:pPr>
              <w:widowControl w:val="0"/>
              <w:snapToGrid w:val="0"/>
              <w:spacing w:before="180" w:beforeLines="50" w:after="180" w:afterLines="50" w:line="240" w:lineRule="auto"/>
              <w:jc w:val="center"/>
              <w:rPr>
                <w:rFonts w:ascii="Times New Roman" w:hAnsi="Times New Roman"/>
                <w:sz w:val="20"/>
                <w:szCs w:val="20"/>
              </w:rPr>
            </w:pPr>
          </w:p>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.088</w:t>
            </w:r>
          </w:p>
        </w:tc>
        <w:tc>
          <w:tcPr>
            <w:tcW w:w="1080" w:type="dxa"/>
          </w:tcPr>
          <w:p>
            <w:pPr>
              <w:widowControl w:val="0"/>
              <w:snapToGrid w:val="0"/>
              <w:spacing w:before="180" w:beforeLines="50" w:after="180" w:afterLines="50" w:line="240" w:lineRule="auto"/>
              <w:jc w:val="center"/>
              <w:rPr>
                <w:rFonts w:ascii="Times New Roman" w:hAnsi="Times New Roman"/>
                <w:sz w:val="20"/>
                <w:szCs w:val="20"/>
              </w:rPr>
            </w:pPr>
          </w:p>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.10</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p>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.12</w:t>
            </w:r>
          </w:p>
        </w:tc>
        <w:tc>
          <w:tcPr>
            <w:tcW w:w="181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2"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Case 30, InF-SH FR2,Full 300MHz</w:t>
            </w:r>
          </w:p>
        </w:tc>
        <w:tc>
          <w:tcPr>
            <w:tcW w:w="1312" w:type="dxa"/>
            <w:vAlign w:val="center"/>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C</w:t>
            </w:r>
            <w:r>
              <w:rPr>
                <w:rFonts w:ascii="Times New Roman" w:hAnsi="Times New Roman"/>
                <w:sz w:val="20"/>
                <w:szCs w:val="20"/>
              </w:rPr>
              <w:t>onvex UEs</w:t>
            </w:r>
          </w:p>
        </w:tc>
        <w:tc>
          <w:tcPr>
            <w:tcW w:w="1247"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.054</w:t>
            </w:r>
          </w:p>
        </w:tc>
        <w:tc>
          <w:tcPr>
            <w:tcW w:w="1188"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.069</w:t>
            </w:r>
          </w:p>
        </w:tc>
        <w:tc>
          <w:tcPr>
            <w:tcW w:w="1080"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.088</w:t>
            </w:r>
          </w:p>
        </w:tc>
        <w:tc>
          <w:tcPr>
            <w:tcW w:w="1134" w:type="dxa"/>
          </w:tcPr>
          <w:p>
            <w:pPr>
              <w:widowControl w:val="0"/>
              <w:snapToGrid w:val="0"/>
              <w:spacing w:before="180" w:beforeLines="50" w:after="180" w:afterLines="50" w:line="240" w:lineRule="auto"/>
              <w:jc w:val="center"/>
              <w:rPr>
                <w:rFonts w:ascii="Times New Roman" w:hAnsi="Times New Roman"/>
                <w:sz w:val="20"/>
                <w:szCs w:val="20"/>
              </w:rPr>
            </w:pPr>
            <w:r>
              <w:rPr>
                <w:rFonts w:hint="eastAsia" w:ascii="Times New Roman" w:hAnsi="Times New Roman"/>
                <w:sz w:val="20"/>
                <w:szCs w:val="20"/>
              </w:rPr>
              <w:t>0</w:t>
            </w:r>
            <w:r>
              <w:rPr>
                <w:rFonts w:ascii="Times New Roman" w:hAnsi="Times New Roman"/>
                <w:sz w:val="20"/>
                <w:szCs w:val="20"/>
              </w:rPr>
              <w:t>.11</w:t>
            </w:r>
          </w:p>
        </w:tc>
        <w:tc>
          <w:tcPr>
            <w:tcW w:w="1813" w:type="dxa"/>
          </w:tcPr>
          <w:p>
            <w:pPr>
              <w:widowControl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t>Yes</w:t>
            </w:r>
          </w:p>
        </w:tc>
      </w:tr>
    </w:tbl>
    <w:p>
      <w:pPr>
        <w:snapToGrid w:val="0"/>
        <w:spacing w:after="180" w:afterLines="50" w:line="240" w:lineRule="auto"/>
      </w:pPr>
    </w:p>
    <w:p>
      <w:pPr>
        <w:pStyle w:val="2"/>
        <w:snapToGrid w:val="0"/>
        <w:spacing w:before="120" w:after="180" w:afterLines="50"/>
        <w:ind w:left="431" w:hanging="431"/>
        <w:jc w:val="both"/>
        <w:rPr>
          <w:sz w:val="28"/>
          <w:lang w:val="en-US"/>
        </w:rPr>
      </w:pPr>
      <w:r>
        <w:rPr>
          <w:sz w:val="28"/>
          <w:lang w:val="en-US"/>
        </w:rPr>
        <w:t xml:space="preserve">Summary of Evaluations for Positioning for RedCap UEs </w:t>
      </w:r>
    </w:p>
    <w:p>
      <w:pPr>
        <w:widowControl w:val="0"/>
        <w:snapToGrid w:val="0"/>
        <w:spacing w:after="180" w:afterLines="50" w:line="240" w:lineRule="auto"/>
        <w:jc w:val="both"/>
        <w:rPr>
          <w:rFonts w:ascii="Times New Roman" w:hAnsi="Times New Roman"/>
          <w:b/>
          <w:sz w:val="20"/>
          <w:szCs w:val="20"/>
        </w:rPr>
      </w:pPr>
      <w:r>
        <w:rPr>
          <w:rFonts w:hint="eastAsia" w:ascii="Times New Roman" w:hAnsi="Times New Roman"/>
          <w:b/>
          <w:sz w:val="20"/>
          <w:szCs w:val="20"/>
        </w:rPr>
        <w:t>F</w:t>
      </w:r>
      <w:r>
        <w:rPr>
          <w:rFonts w:ascii="Times New Roman" w:hAnsi="Times New Roman"/>
          <w:b/>
          <w:sz w:val="20"/>
          <w:szCs w:val="20"/>
        </w:rPr>
        <w:t>or FR1 frequency hopping in InF-SH:</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 xml:space="preserve">To check the positioning performance of a RedCap UE, some simulations are performed in InF-SH scenario for FR1. From these results, it can be observed that, the positioning accuracy in FR1 for a RedCap UE (with a bandwidth of 20MHz) is about 2.6 m for 90% UEs which can not satisfy the target positioning requirements. </w:t>
      </w:r>
    </w:p>
    <w:p>
      <w:pPr>
        <w:widowControl w:val="0"/>
        <w:snapToGrid w:val="0"/>
        <w:spacing w:after="180" w:afterLines="50" w:line="240" w:lineRule="auto"/>
        <w:jc w:val="both"/>
        <w:rPr>
          <w:rFonts w:ascii="Times New Roman" w:hAnsi="Times New Roman"/>
          <w:sz w:val="20"/>
          <w:szCs w:val="20"/>
        </w:rPr>
      </w:pPr>
      <w:r>
        <w:rPr>
          <w:rFonts w:ascii="Times New Roman" w:hAnsi="Times New Roman"/>
          <w:sz w:val="20"/>
          <w:szCs w:val="20"/>
        </w:rPr>
        <w:t>Therefore, we have the following observation.</w:t>
      </w:r>
    </w:p>
    <w:p>
      <w:pPr>
        <w:autoSpaceDE w:val="0"/>
        <w:autoSpaceDN w:val="0"/>
        <w:adjustRightInd w:val="0"/>
        <w:snapToGrid w:val="0"/>
        <w:spacing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 xml:space="preserve">Observation 1: </w:t>
      </w:r>
      <w:r>
        <w:rPr>
          <w:rFonts w:ascii="Times New Roman" w:hAnsi="Times New Roman" w:eastAsia="宋体"/>
          <w:i/>
          <w:sz w:val="20"/>
          <w:szCs w:val="20"/>
        </w:rPr>
        <w:t>For</w:t>
      </w:r>
      <w:r>
        <w:rPr>
          <w:rFonts w:hint="eastAsia" w:ascii="Times New Roman" w:hAnsi="Times New Roman" w:eastAsia="宋体"/>
          <w:i/>
          <w:sz w:val="20"/>
          <w:szCs w:val="20"/>
        </w:rPr>
        <w:t xml:space="preserve"> a Rel-17 RedCap UE in</w:t>
      </w:r>
      <w:r>
        <w:rPr>
          <w:rFonts w:ascii="Times New Roman" w:hAnsi="Times New Roman" w:eastAsia="宋体"/>
          <w:i/>
          <w:sz w:val="20"/>
          <w:szCs w:val="20"/>
        </w:rPr>
        <w:t xml:space="preserve"> FR1</w:t>
      </w:r>
      <w:r>
        <w:rPr>
          <w:rFonts w:hint="eastAsia" w:ascii="Times New Roman" w:hAnsi="Times New Roman" w:eastAsia="宋体"/>
          <w:i/>
          <w:sz w:val="20"/>
          <w:szCs w:val="20"/>
        </w:rPr>
        <w:t xml:space="preserve"> and</w:t>
      </w:r>
      <w:r>
        <w:rPr>
          <w:rFonts w:ascii="Times New Roman" w:hAnsi="Times New Roman" w:eastAsia="宋体"/>
          <w:i/>
          <w:sz w:val="20"/>
          <w:szCs w:val="20"/>
        </w:rPr>
        <w:t xml:space="preserve"> InF-SH scenario, the positioning performance is insufficient because of limited bandwidth.</w:t>
      </w:r>
    </w:p>
    <w:p>
      <w:pPr>
        <w:widowControl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From</w:t>
      </w:r>
      <w:r>
        <w:rPr>
          <w:rFonts w:ascii="Times New Roman" w:hAnsi="Times New Roman"/>
          <w:sz w:val="20"/>
          <w:szCs w:val="20"/>
        </w:rPr>
        <w:t xml:space="preserve"> simulation results shown in Figure 3.2-1, Figure 3.2-1 and Table 3.2.2, it can be seen that, with multiple frequency hopping, the positioning accuracy can be significantly improved if the phase between each hop can be correctly adjusted.</w:t>
      </w:r>
      <w:r>
        <w:rPr>
          <w:rFonts w:hint="eastAsia" w:ascii="Times New Roman" w:hAnsi="Times New Roman"/>
          <w:sz w:val="20"/>
          <w:szCs w:val="20"/>
        </w:rPr>
        <w:t xml:space="preserve"> </w:t>
      </w:r>
      <w:r>
        <w:rPr>
          <w:rFonts w:ascii="Times New Roman" w:hAnsi="Times New Roman"/>
          <w:sz w:val="20"/>
          <w:szCs w:val="20"/>
        </w:rPr>
        <w:t>It can also be observed that, if the phase between each hop cannot be correctly adjusted, then the concatenated signal will be damaged by the ra</w:t>
      </w:r>
      <w:r>
        <w:rPr>
          <w:rFonts w:hint="eastAsia" w:ascii="Times New Roman" w:hAnsi="Times New Roman"/>
          <w:sz w:val="20"/>
          <w:szCs w:val="20"/>
        </w:rPr>
        <w:t>n</w:t>
      </w:r>
      <w:r>
        <w:rPr>
          <w:rFonts w:ascii="Times New Roman" w:hAnsi="Times New Roman"/>
          <w:sz w:val="20"/>
          <w:szCs w:val="20"/>
        </w:rPr>
        <w:t>dom phase between each hop. It will even be worse than a single hop. Hence, we have the following observations</w:t>
      </w:r>
      <w:r>
        <w:rPr>
          <w:rFonts w:hint="eastAsia" w:ascii="Times New Roman" w:hAnsi="Times New Roman"/>
          <w:sz w:val="20"/>
          <w:szCs w:val="20"/>
        </w:rPr>
        <w:t>.</w:t>
      </w:r>
    </w:p>
    <w:p>
      <w:pPr>
        <w:autoSpaceDE w:val="0"/>
        <w:autoSpaceDN w:val="0"/>
        <w:adjustRightInd w:val="0"/>
        <w:snapToGrid w:val="0"/>
        <w:spacing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 xml:space="preserve">Observation 2: </w:t>
      </w:r>
      <w:r>
        <w:rPr>
          <w:rFonts w:ascii="Times New Roman" w:hAnsi="Times New Roman" w:eastAsia="宋体"/>
          <w:i/>
          <w:sz w:val="20"/>
          <w:szCs w:val="20"/>
        </w:rPr>
        <w:t>For RedCap UE positioning in FR 1, InF-SH scenario</w:t>
      </w:r>
    </w:p>
    <w:p>
      <w:pPr>
        <w:pStyle w:val="89"/>
        <w:numPr>
          <w:ilvl w:val="0"/>
          <w:numId w:val="9"/>
        </w:numPr>
        <w:snapToGrid w:val="0"/>
        <w:spacing w:afterLines="50" w:line="240" w:lineRule="auto"/>
        <w:jc w:val="both"/>
        <w:rPr>
          <w:i/>
          <w:sz w:val="20"/>
        </w:rPr>
      </w:pPr>
      <w:r>
        <w:rPr>
          <w:i/>
          <w:sz w:val="20"/>
        </w:rPr>
        <w:t>The random phase between hops will damage the positioning performance if it was not adjusted.</w:t>
      </w:r>
    </w:p>
    <w:p>
      <w:pPr>
        <w:pStyle w:val="89"/>
        <w:numPr>
          <w:ilvl w:val="0"/>
          <w:numId w:val="9"/>
        </w:numPr>
        <w:snapToGrid w:val="0"/>
        <w:spacing w:afterLines="50" w:line="240" w:lineRule="auto"/>
        <w:jc w:val="both"/>
        <w:rPr>
          <w:i/>
          <w:sz w:val="20"/>
        </w:rPr>
      </w:pPr>
      <w:r>
        <w:rPr>
          <w:i/>
          <w:sz w:val="20"/>
        </w:rPr>
        <w:t>PRS frequency hopping can improve positioning performance if the random phase between hops can be adjusted.</w:t>
      </w:r>
    </w:p>
    <w:p>
      <w:pPr>
        <w:widowControl w:val="0"/>
        <w:snapToGrid w:val="0"/>
        <w:spacing w:after="180" w:afterLines="50" w:line="240" w:lineRule="auto"/>
        <w:jc w:val="both"/>
        <w:rPr>
          <w:rFonts w:ascii="Times New Roman" w:hAnsi="Times New Roman"/>
          <w:b/>
          <w:sz w:val="20"/>
          <w:szCs w:val="20"/>
        </w:rPr>
      </w:pPr>
      <w:r>
        <w:rPr>
          <w:rFonts w:ascii="Times New Roman" w:hAnsi="Times New Roman"/>
          <w:b/>
          <w:sz w:val="20"/>
          <w:szCs w:val="20"/>
        </w:rPr>
        <w:t>For the evaluation of Doppler impact:</w:t>
      </w:r>
    </w:p>
    <w:p>
      <w:pPr>
        <w:widowControl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ase on our evaluation results, all cases for evaluating Doppler impact can meet the positioning requirement for RedCap UE. Therefore, we have the following observation</w:t>
      </w:r>
      <w:r>
        <w:rPr>
          <w:rFonts w:hint="eastAsia" w:ascii="Times New Roman" w:hAnsi="Times New Roman"/>
          <w:sz w:val="20"/>
          <w:szCs w:val="20"/>
        </w:rPr>
        <w:t>.</w:t>
      </w:r>
    </w:p>
    <w:p>
      <w:pPr>
        <w:snapToGrid w:val="0"/>
        <w:spacing w:after="180" w:afterLines="50" w:line="240" w:lineRule="auto"/>
        <w:rPr>
          <w:rFonts w:ascii="Times New Roman" w:hAnsi="Times New Roman"/>
          <w:i/>
          <w:sz w:val="20"/>
          <w:szCs w:val="20"/>
        </w:rPr>
      </w:pPr>
      <w:r>
        <w:rPr>
          <w:rFonts w:ascii="Times New Roman" w:hAnsi="Times New Roman"/>
          <w:b/>
          <w:i/>
          <w:sz w:val="20"/>
          <w:szCs w:val="20"/>
        </w:rPr>
        <w:t>Observation 3</w:t>
      </w:r>
      <w:r>
        <w:rPr>
          <w:rFonts w:ascii="Times New Roman" w:hAnsi="Times New Roman"/>
          <w:i/>
          <w:sz w:val="20"/>
          <w:szCs w:val="20"/>
        </w:rPr>
        <w:t xml:space="preserve">: The Doppler shift has little effect on positioning accuracy of </w:t>
      </w:r>
      <w:r>
        <w:rPr>
          <w:rFonts w:hint="eastAsia" w:ascii="Times New Roman" w:hAnsi="Times New Roman"/>
          <w:i/>
          <w:sz w:val="20"/>
          <w:szCs w:val="20"/>
        </w:rPr>
        <w:t xml:space="preserve">RS </w:t>
      </w:r>
      <w:r>
        <w:rPr>
          <w:rFonts w:ascii="Times New Roman" w:hAnsi="Times New Roman"/>
          <w:i/>
          <w:sz w:val="20"/>
          <w:szCs w:val="20"/>
        </w:rPr>
        <w:t>hopping for RedCap UE under InF-SH scenario</w:t>
      </w:r>
      <w:r>
        <w:rPr>
          <w:rFonts w:hint="eastAsia" w:ascii="Times New Roman" w:hAnsi="Times New Roman"/>
          <w:i/>
          <w:sz w:val="20"/>
          <w:szCs w:val="20"/>
        </w:rPr>
        <w:t xml:space="preserve"> in FR1</w:t>
      </w:r>
      <w:r>
        <w:rPr>
          <w:rFonts w:ascii="Times New Roman" w:hAnsi="Times New Roman"/>
          <w:i/>
          <w:sz w:val="20"/>
          <w:szCs w:val="20"/>
        </w:rPr>
        <w:t>.</w:t>
      </w:r>
    </w:p>
    <w:p>
      <w:pPr>
        <w:widowControl w:val="0"/>
        <w:snapToGrid w:val="0"/>
        <w:spacing w:after="180" w:afterLines="50" w:line="240" w:lineRule="auto"/>
        <w:jc w:val="both"/>
        <w:rPr>
          <w:rFonts w:ascii="Times New Roman" w:hAnsi="Times New Roman"/>
          <w:b/>
          <w:sz w:val="20"/>
          <w:szCs w:val="20"/>
        </w:rPr>
      </w:pPr>
      <w:r>
        <w:rPr>
          <w:rFonts w:ascii="Times New Roman" w:hAnsi="Times New Roman"/>
          <w:b/>
          <w:sz w:val="20"/>
          <w:szCs w:val="20"/>
        </w:rPr>
        <w:t>For the evaluation of phase offset impact:</w:t>
      </w:r>
    </w:p>
    <w:p>
      <w:pPr>
        <w:snapToGrid w:val="0"/>
        <w:spacing w:after="180" w:afterLines="50" w:line="240" w:lineRule="auto"/>
        <w:rPr>
          <w:rFonts w:ascii="Times New Roman" w:hAnsi="Times New Roman"/>
          <w:sz w:val="20"/>
        </w:rPr>
      </w:pPr>
      <w:r>
        <w:rPr>
          <w:rFonts w:ascii="Times New Roman" w:hAnsi="Times New Roman"/>
          <w:sz w:val="20"/>
        </w:rPr>
        <w:t xml:space="preserve">When the random phase offset is set to </w:t>
      </w:r>
      <w:r>
        <w:rPr>
          <w:rFonts w:ascii="Times New Roman" w:hAnsi="Times New Roman"/>
          <w:sz w:val="20"/>
          <w:szCs w:val="20"/>
        </w:rPr>
        <w:t>0.5*2</w:t>
      </w:r>
      <m:oMath>
        <m:r>
          <m:rPr>
            <m:sty m:val="p"/>
          </m:rPr>
          <w:rPr>
            <w:rFonts w:ascii="Cambria Math" w:hAnsi="Cambria Math"/>
            <w:sz w:val="20"/>
            <w:szCs w:val="20"/>
          </w:rPr>
          <m:t>π</m:t>
        </m:r>
      </m:oMath>
      <w:r>
        <w:rPr>
          <w:rFonts w:hint="eastAsia" w:ascii="Times New Roman" w:hAnsi="Times New Roman"/>
          <w:sz w:val="20"/>
          <w:szCs w:val="20"/>
        </w:rPr>
        <w:t xml:space="preserve"> </w:t>
      </w:r>
      <w:r>
        <w:rPr>
          <w:rFonts w:ascii="Times New Roman" w:hAnsi="Times New Roman"/>
          <w:sz w:val="20"/>
          <w:szCs w:val="20"/>
        </w:rPr>
        <w:t>or larger than 0.5*2</w:t>
      </w:r>
      <m:oMath>
        <m:r>
          <m:rPr>
            <m:sty m:val="p"/>
          </m:rPr>
          <w:rPr>
            <w:rFonts w:ascii="Cambria Math" w:hAnsi="Cambria Math"/>
            <w:sz w:val="20"/>
            <w:szCs w:val="20"/>
          </w:rPr>
          <m:t>π</m:t>
        </m:r>
      </m:oMath>
      <w:r>
        <w:rPr>
          <w:rFonts w:ascii="Times New Roman" w:hAnsi="Times New Roman"/>
          <w:sz w:val="20"/>
          <w:szCs w:val="20"/>
        </w:rPr>
        <w:t xml:space="preserve"> (in STD</w:t>
      </w:r>
      <w:r>
        <w:rPr>
          <w:rFonts w:hint="eastAsia" w:ascii="Times New Roman" w:hAnsi="Times New Roman"/>
          <w:sz w:val="20"/>
          <w:szCs w:val="20"/>
        </w:rPr>
        <w:t xml:space="preserve"> </w:t>
      </w:r>
      <w:r>
        <w:rPr>
          <w:rFonts w:ascii="Times New Roman" w:hAnsi="Times New Roman"/>
          <w:sz w:val="20"/>
          <w:szCs w:val="20"/>
        </w:rPr>
        <w:t>of standard normal distribution)</w:t>
      </w:r>
      <w:r>
        <w:rPr>
          <w:rFonts w:hint="eastAsia" w:ascii="Times New Roman" w:hAnsi="Times New Roman"/>
          <w:sz w:val="20"/>
          <w:szCs w:val="20"/>
        </w:rPr>
        <w:t>,</w:t>
      </w:r>
      <w:r>
        <w:rPr>
          <w:rFonts w:ascii="Times New Roman" w:hAnsi="Times New Roman"/>
          <w:sz w:val="20"/>
          <w:szCs w:val="20"/>
        </w:rPr>
        <w:t xml:space="preserve"> the positioning accuracy can not satisfy the agreed requirements, we have the following observation</w:t>
      </w:r>
    </w:p>
    <w:p>
      <w:pPr>
        <w:snapToGrid w:val="0"/>
        <w:spacing w:after="180" w:afterLines="50" w:line="240" w:lineRule="auto"/>
        <w:jc w:val="both"/>
        <w:rPr>
          <w:rFonts w:ascii="Times New Roman" w:hAnsi="Times New Roman"/>
          <w:i/>
          <w:sz w:val="20"/>
        </w:rPr>
      </w:pPr>
      <w:r>
        <w:rPr>
          <w:rFonts w:ascii="Times New Roman" w:hAnsi="Times New Roman"/>
          <w:b/>
          <w:i/>
          <w:sz w:val="20"/>
        </w:rPr>
        <w:t>Observation 4:</w:t>
      </w:r>
      <w:r>
        <w:rPr>
          <w:rFonts w:ascii="Times New Roman" w:hAnsi="Times New Roman"/>
          <w:i/>
          <w:sz w:val="20"/>
        </w:rPr>
        <w:t xml:space="preserve"> </w:t>
      </w:r>
      <w:r>
        <w:rPr>
          <w:rFonts w:hint="eastAsia" w:ascii="Times New Roman" w:hAnsi="Times New Roman"/>
          <w:i/>
          <w:sz w:val="20"/>
        </w:rPr>
        <w:t>For the case with 5 RS hops in FR1, i</w:t>
      </w:r>
      <w:r>
        <w:rPr>
          <w:rFonts w:ascii="Times New Roman" w:hAnsi="Times New Roman"/>
          <w:i/>
          <w:sz w:val="20"/>
        </w:rPr>
        <w:t>f the phase offset between hops were not adjusted, it will affect positioning accuracy of hopping for RedCap UE.</w:t>
      </w:r>
    </w:p>
    <w:p>
      <w:pPr>
        <w:pStyle w:val="89"/>
        <w:numPr>
          <w:ilvl w:val="0"/>
          <w:numId w:val="10"/>
        </w:numPr>
        <w:snapToGrid w:val="0"/>
        <w:spacing w:afterLines="50" w:line="240" w:lineRule="auto"/>
        <w:jc w:val="both"/>
        <w:rPr>
          <w:i/>
          <w:sz w:val="20"/>
        </w:rPr>
      </w:pPr>
      <w:r>
        <w:rPr>
          <w:rFonts w:hint="eastAsia"/>
          <w:i/>
          <w:sz w:val="20"/>
          <w:lang w:eastAsia="zh-CN"/>
        </w:rPr>
        <w:t xml:space="preserve">If </w:t>
      </w:r>
      <w:r>
        <w:rPr>
          <w:i/>
          <w:sz w:val="20"/>
        </w:rPr>
        <w:t xml:space="preserve">the random phase offset is set to 0.5*2π or larger than 0.5*2π </w:t>
      </w:r>
      <w:r>
        <w:rPr>
          <w:rFonts w:hint="eastAsia"/>
          <w:i/>
          <w:sz w:val="20"/>
          <w:lang w:eastAsia="zh-CN"/>
        </w:rPr>
        <w:t>(in STD)</w:t>
      </w:r>
      <w:r>
        <w:rPr>
          <w:i/>
          <w:sz w:val="20"/>
        </w:rPr>
        <w:t>, the positioning accuracy requirement can not be satisfied.</w:t>
      </w:r>
      <w:r>
        <w:rPr>
          <w:rFonts w:hint="eastAsia"/>
          <w:i/>
          <w:sz w:val="20"/>
          <w:lang w:eastAsia="zh-CN"/>
        </w:rPr>
        <w:t xml:space="preserve"> Otherwise, the requirement can s</w:t>
      </w:r>
      <w:r>
        <w:rPr>
          <w:rFonts w:hint="eastAsia"/>
          <w:i/>
          <w:sz w:val="20"/>
          <w:lang w:val="en-US" w:eastAsia="zh-CN"/>
        </w:rPr>
        <w:t>t</w:t>
      </w:r>
      <w:r>
        <w:rPr>
          <w:rFonts w:hint="eastAsia"/>
          <w:i/>
          <w:sz w:val="20"/>
          <w:lang w:eastAsia="zh-CN"/>
        </w:rPr>
        <w:t xml:space="preserve">ill be met. </w:t>
      </w:r>
    </w:p>
    <w:p>
      <w:pPr>
        <w:widowControl w:val="0"/>
        <w:snapToGrid w:val="0"/>
        <w:spacing w:after="180" w:afterLines="50" w:line="240" w:lineRule="auto"/>
        <w:jc w:val="both"/>
        <w:rPr>
          <w:rFonts w:ascii="Times New Roman" w:hAnsi="Times New Roman"/>
          <w:b/>
          <w:sz w:val="20"/>
          <w:szCs w:val="20"/>
        </w:rPr>
      </w:pPr>
      <w:r>
        <w:rPr>
          <w:rFonts w:ascii="Times New Roman" w:hAnsi="Times New Roman"/>
          <w:b/>
          <w:sz w:val="20"/>
          <w:szCs w:val="20"/>
        </w:rPr>
        <w:t>For the evaluation of timing offset impact:</w:t>
      </w:r>
    </w:p>
    <w:p>
      <w:pPr>
        <w:snapToGrid w:val="0"/>
        <w:spacing w:after="180" w:afterLines="50" w:line="240" w:lineRule="auto"/>
        <w:rPr>
          <w:rFonts w:ascii="Times New Roman" w:hAnsi="Times New Roman"/>
          <w:sz w:val="20"/>
        </w:rPr>
      </w:pPr>
      <w:r>
        <w:rPr>
          <w:rFonts w:hint="eastAsia" w:ascii="Times New Roman" w:hAnsi="Times New Roman"/>
          <w:sz w:val="20"/>
          <w:szCs w:val="20"/>
        </w:rPr>
        <w:t>B</w:t>
      </w:r>
      <w:r>
        <w:rPr>
          <w:rFonts w:ascii="Times New Roman" w:hAnsi="Times New Roman"/>
          <w:sz w:val="20"/>
          <w:szCs w:val="20"/>
        </w:rPr>
        <w:t>ase on our evaluation results, time offset between hops will decrease positioning accuracy of hopping for RedCap UE. Especially when STD</w:t>
      </w:r>
      <w:r>
        <w:rPr>
          <w:rFonts w:hint="eastAsia" w:ascii="Times New Roman" w:hAnsi="Times New Roman"/>
          <w:sz w:val="20"/>
          <w:szCs w:val="20"/>
        </w:rPr>
        <w:t xml:space="preserve"> </w:t>
      </w:r>
      <w:r>
        <w:rPr>
          <w:rFonts w:ascii="Times New Roman" w:hAnsi="Times New Roman"/>
          <w:sz w:val="20"/>
          <w:szCs w:val="20"/>
        </w:rPr>
        <w:t>(of standard normal distribution) is equal to or larger than 3ns, the positioning accuracy requirement for RedCap UE can not be met.</w:t>
      </w:r>
    </w:p>
    <w:p>
      <w:pPr>
        <w:snapToGrid w:val="0"/>
        <w:spacing w:after="180" w:afterLines="50" w:line="240" w:lineRule="auto"/>
        <w:rPr>
          <w:rFonts w:ascii="Times New Roman" w:hAnsi="Times New Roman"/>
          <w:i/>
          <w:sz w:val="20"/>
        </w:rPr>
      </w:pPr>
      <w:r>
        <w:rPr>
          <w:rFonts w:ascii="Times New Roman" w:hAnsi="Times New Roman"/>
          <w:b/>
          <w:i/>
          <w:sz w:val="20"/>
        </w:rPr>
        <w:t>Observation 5:</w:t>
      </w:r>
      <w:r>
        <w:rPr>
          <w:rFonts w:ascii="Times New Roman" w:hAnsi="Times New Roman"/>
          <w:i/>
          <w:sz w:val="20"/>
        </w:rPr>
        <w:t xml:space="preserve"> </w:t>
      </w:r>
      <w:r>
        <w:rPr>
          <w:rFonts w:hint="eastAsia" w:ascii="Times New Roman" w:hAnsi="Times New Roman"/>
          <w:i/>
          <w:sz w:val="20"/>
        </w:rPr>
        <w:t>For the case with 5 RS hops in FR1, t</w:t>
      </w:r>
      <w:r>
        <w:rPr>
          <w:rFonts w:ascii="Times New Roman" w:hAnsi="Times New Roman"/>
          <w:i/>
          <w:sz w:val="20"/>
        </w:rPr>
        <w:t>he time offset between hops will decrease positioning accuracy of hopping for RedCap UE.</w:t>
      </w:r>
    </w:p>
    <w:p>
      <w:pPr>
        <w:pStyle w:val="89"/>
        <w:numPr>
          <w:ilvl w:val="0"/>
          <w:numId w:val="10"/>
        </w:numPr>
        <w:snapToGrid w:val="0"/>
        <w:spacing w:afterLines="50" w:line="240" w:lineRule="auto"/>
        <w:rPr>
          <w:i/>
          <w:sz w:val="20"/>
        </w:rPr>
      </w:pPr>
      <w:r>
        <w:rPr>
          <w:i/>
          <w:sz w:val="20"/>
        </w:rPr>
        <w:t>When the random timing offset is equal to or larger than 3ns</w:t>
      </w:r>
      <w:r>
        <w:rPr>
          <w:rFonts w:hint="eastAsia"/>
          <w:i/>
          <w:sz w:val="20"/>
          <w:lang w:eastAsia="zh-CN"/>
        </w:rPr>
        <w:t xml:space="preserve"> (in STD)</w:t>
      </w:r>
      <w:r>
        <w:rPr>
          <w:i/>
          <w:sz w:val="20"/>
        </w:rPr>
        <w:t>, the positioning accuracy requirement can not be met.</w:t>
      </w:r>
      <w:r>
        <w:rPr>
          <w:rFonts w:hint="eastAsia"/>
          <w:i/>
          <w:sz w:val="20"/>
          <w:lang w:eastAsia="zh-CN"/>
        </w:rPr>
        <w:t xml:space="preserve"> Otherwise, the requirement can s</w:t>
      </w:r>
      <w:r>
        <w:rPr>
          <w:rFonts w:hint="eastAsia"/>
          <w:i/>
          <w:sz w:val="20"/>
          <w:lang w:val="en-US" w:eastAsia="zh-CN"/>
        </w:rPr>
        <w:t>t</w:t>
      </w:r>
      <w:r>
        <w:rPr>
          <w:rFonts w:hint="eastAsia"/>
          <w:i/>
          <w:sz w:val="20"/>
          <w:lang w:eastAsia="zh-CN"/>
        </w:rPr>
        <w:t>ill be met.</w:t>
      </w:r>
    </w:p>
    <w:p>
      <w:pPr>
        <w:widowControl w:val="0"/>
        <w:snapToGrid w:val="0"/>
        <w:spacing w:after="180" w:afterLines="50" w:line="240" w:lineRule="auto"/>
        <w:jc w:val="both"/>
        <w:rPr>
          <w:rFonts w:ascii="Times New Roman" w:hAnsi="Times New Roman"/>
          <w:b/>
          <w:sz w:val="20"/>
          <w:szCs w:val="20"/>
        </w:rPr>
      </w:pPr>
      <w:r>
        <w:rPr>
          <w:rFonts w:ascii="Times New Roman" w:hAnsi="Times New Roman"/>
          <w:b/>
          <w:sz w:val="20"/>
          <w:szCs w:val="20"/>
        </w:rPr>
        <w:t>For the evaluation of FR2 InF-SH:</w:t>
      </w:r>
    </w:p>
    <w:p>
      <w:pPr>
        <w:widowControl w:val="0"/>
        <w:snapToGrid w:val="0"/>
        <w:spacing w:after="180" w:afterLines="50" w:line="240" w:lineRule="auto"/>
        <w:jc w:val="both"/>
        <w:rPr>
          <w:rFonts w:ascii="Times New Roman" w:hAnsi="Times New Roman"/>
          <w:sz w:val="20"/>
          <w:szCs w:val="20"/>
        </w:rPr>
      </w:pPr>
      <w:r>
        <w:rPr>
          <w:rFonts w:hint="eastAsia" w:ascii="Times New Roman" w:hAnsi="Times New Roman"/>
          <w:sz w:val="20"/>
          <w:szCs w:val="20"/>
        </w:rPr>
        <w:t>B</w:t>
      </w:r>
      <w:r>
        <w:rPr>
          <w:rFonts w:ascii="Times New Roman" w:hAnsi="Times New Roman"/>
          <w:sz w:val="20"/>
          <w:szCs w:val="20"/>
        </w:rPr>
        <w:t xml:space="preserve">ase on our evaluation results, all cases (case 26 to case 30) for evaluating FR2 can meet the positioning requirement for RedCap UE. </w:t>
      </w:r>
      <w:r>
        <w:rPr>
          <w:rFonts w:ascii="Times New Roman" w:hAnsi="Times New Roman"/>
          <w:sz w:val="20"/>
        </w:rPr>
        <w:t xml:space="preserve">Similar </w:t>
      </w:r>
      <w:r>
        <w:rPr>
          <w:rFonts w:hint="eastAsia" w:ascii="Times New Roman" w:hAnsi="Times New Roman"/>
          <w:sz w:val="20"/>
        </w:rPr>
        <w:t>to</w:t>
      </w:r>
      <w:r>
        <w:rPr>
          <w:rFonts w:ascii="Times New Roman" w:hAnsi="Times New Roman"/>
          <w:sz w:val="20"/>
        </w:rPr>
        <w:t xml:space="preserve"> </w:t>
      </w:r>
      <w:r>
        <w:rPr>
          <w:rFonts w:hint="eastAsia" w:ascii="Times New Roman" w:hAnsi="Times New Roman"/>
          <w:sz w:val="20"/>
        </w:rPr>
        <w:t xml:space="preserve">that of </w:t>
      </w:r>
      <w:r>
        <w:rPr>
          <w:rFonts w:ascii="Times New Roman" w:hAnsi="Times New Roman"/>
          <w:sz w:val="20"/>
        </w:rPr>
        <w:t>FR1, we have the following observations in FR2.</w:t>
      </w:r>
    </w:p>
    <w:p>
      <w:pPr>
        <w:autoSpaceDE w:val="0"/>
        <w:autoSpaceDN w:val="0"/>
        <w:adjustRightInd w:val="0"/>
        <w:snapToGrid w:val="0"/>
        <w:spacing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 xml:space="preserve">Observation 6: </w:t>
      </w:r>
      <w:r>
        <w:rPr>
          <w:rFonts w:ascii="Times New Roman" w:hAnsi="Times New Roman" w:eastAsia="宋体"/>
          <w:i/>
          <w:sz w:val="20"/>
          <w:szCs w:val="20"/>
        </w:rPr>
        <w:t>For RedCap UE positioning in FR 2, InF-SH scenario, PRS frequency hopping can improve positioning performance if the random phase between hops can be adjusted.</w:t>
      </w:r>
    </w:p>
    <w:p>
      <w:pPr>
        <w:autoSpaceDE w:val="0"/>
        <w:autoSpaceDN w:val="0"/>
        <w:adjustRightInd w:val="0"/>
        <w:snapToGrid w:val="0"/>
        <w:spacing w:after="180" w:afterLines="50" w:line="240" w:lineRule="auto"/>
        <w:jc w:val="both"/>
        <w:rPr>
          <w:rFonts w:ascii="Times New Roman" w:hAnsi="Times New Roman" w:eastAsia="宋体"/>
          <w:i/>
          <w:sz w:val="20"/>
          <w:szCs w:val="20"/>
        </w:rPr>
      </w:pPr>
    </w:p>
    <w:p>
      <w:pPr>
        <w:pStyle w:val="2"/>
        <w:snapToGrid w:val="0"/>
        <w:spacing w:before="120" w:after="180" w:afterLines="50"/>
        <w:ind w:left="431" w:hanging="431"/>
        <w:jc w:val="both"/>
        <w:rPr>
          <w:sz w:val="28"/>
          <w:lang w:val="en-US"/>
        </w:rPr>
      </w:pPr>
      <w:r>
        <w:rPr>
          <w:rFonts w:hint="eastAsia"/>
          <w:sz w:val="28"/>
          <w:lang w:val="en-US"/>
        </w:rPr>
        <w:t>Conclusion</w:t>
      </w:r>
    </w:p>
    <w:p>
      <w:pPr>
        <w:autoSpaceDE w:val="0"/>
        <w:autoSpaceDN w:val="0"/>
        <w:adjustRightInd w:val="0"/>
        <w:snapToGrid w:val="0"/>
        <w:spacing w:after="120" w:line="240" w:lineRule="auto"/>
        <w:jc w:val="both"/>
        <w:rPr>
          <w:rFonts w:ascii="Times New Roman" w:hAnsi="Times New Roman" w:eastAsia="宋体"/>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w:t>
      </w:r>
      <w:r>
        <w:rPr>
          <w:rFonts w:hint="eastAsia" w:ascii="Times New Roman" w:hAnsi="Times New Roman"/>
          <w:iCs/>
          <w:sz w:val="20"/>
          <w:szCs w:val="20"/>
        </w:rPr>
        <w:t xml:space="preserve"> our views on </w:t>
      </w:r>
      <w:r>
        <w:rPr>
          <w:rFonts w:ascii="Times New Roman" w:hAnsi="Times New Roman"/>
          <w:iCs/>
          <w:sz w:val="20"/>
          <w:szCs w:val="20"/>
        </w:rPr>
        <w:t>positioning support for RedCap UE techniques as the following</w:t>
      </w:r>
      <w:r>
        <w:rPr>
          <w:rFonts w:hint="eastAsia" w:ascii="Times New Roman" w:hAnsi="Times New Roman"/>
          <w:iCs/>
          <w:sz w:val="20"/>
          <w:szCs w:val="20"/>
        </w:rPr>
        <w:t xml:space="preserve"> o</w:t>
      </w:r>
      <w:r>
        <w:rPr>
          <w:rFonts w:ascii="Times New Roman" w:hAnsi="Times New Roman"/>
          <w:iCs/>
          <w:sz w:val="20"/>
          <w:szCs w:val="20"/>
        </w:rPr>
        <w:t>bservations and proposals.</w:t>
      </w:r>
    </w:p>
    <w:p>
      <w:pPr>
        <w:autoSpaceDE w:val="0"/>
        <w:autoSpaceDN w:val="0"/>
        <w:adjustRightInd w:val="0"/>
        <w:snapToGrid w:val="0"/>
        <w:spacing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 xml:space="preserve">Observation 1: </w:t>
      </w:r>
      <w:r>
        <w:rPr>
          <w:rFonts w:ascii="Times New Roman" w:hAnsi="Times New Roman" w:eastAsia="宋体"/>
          <w:i/>
          <w:sz w:val="20"/>
          <w:szCs w:val="20"/>
        </w:rPr>
        <w:t>For</w:t>
      </w:r>
      <w:r>
        <w:rPr>
          <w:rFonts w:hint="eastAsia" w:ascii="Times New Roman" w:hAnsi="Times New Roman" w:eastAsia="宋体"/>
          <w:i/>
          <w:sz w:val="20"/>
          <w:szCs w:val="20"/>
        </w:rPr>
        <w:t xml:space="preserve"> a Rel-17 RedCap UE in</w:t>
      </w:r>
      <w:r>
        <w:rPr>
          <w:rFonts w:ascii="Times New Roman" w:hAnsi="Times New Roman" w:eastAsia="宋体"/>
          <w:i/>
          <w:sz w:val="20"/>
          <w:szCs w:val="20"/>
        </w:rPr>
        <w:t xml:space="preserve"> FR1</w:t>
      </w:r>
      <w:r>
        <w:rPr>
          <w:rFonts w:hint="eastAsia" w:ascii="Times New Roman" w:hAnsi="Times New Roman" w:eastAsia="宋体"/>
          <w:i/>
          <w:sz w:val="20"/>
          <w:szCs w:val="20"/>
        </w:rPr>
        <w:t xml:space="preserve"> and</w:t>
      </w:r>
      <w:r>
        <w:rPr>
          <w:rFonts w:ascii="Times New Roman" w:hAnsi="Times New Roman" w:eastAsia="宋体"/>
          <w:i/>
          <w:sz w:val="20"/>
          <w:szCs w:val="20"/>
        </w:rPr>
        <w:t xml:space="preserve"> InF-SH scenario, the positioning performance is insufficient because of limited bandwidth.</w:t>
      </w:r>
    </w:p>
    <w:p>
      <w:pPr>
        <w:autoSpaceDE w:val="0"/>
        <w:autoSpaceDN w:val="0"/>
        <w:adjustRightInd w:val="0"/>
        <w:snapToGrid w:val="0"/>
        <w:spacing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 xml:space="preserve">Observation 2: </w:t>
      </w:r>
      <w:r>
        <w:rPr>
          <w:rFonts w:ascii="Times New Roman" w:hAnsi="Times New Roman" w:eastAsia="宋体"/>
          <w:i/>
          <w:sz w:val="20"/>
          <w:szCs w:val="20"/>
        </w:rPr>
        <w:t>For RedCap UE positioning in FR 1, InF-SH scenario</w:t>
      </w:r>
    </w:p>
    <w:p>
      <w:pPr>
        <w:numPr>
          <w:ilvl w:val="0"/>
          <w:numId w:val="9"/>
        </w:numPr>
        <w:overflowPunct w:val="0"/>
        <w:autoSpaceDE w:val="0"/>
        <w:autoSpaceDN w:val="0"/>
        <w:adjustRightInd w:val="0"/>
        <w:snapToGrid w:val="0"/>
        <w:spacing w:after="180" w:afterLines="50" w:line="240" w:lineRule="auto"/>
        <w:contextualSpacing/>
        <w:jc w:val="both"/>
        <w:textAlignment w:val="baseline"/>
        <w:rPr>
          <w:rFonts w:ascii="Times New Roman" w:hAnsi="Times New Roman" w:eastAsia="宋体"/>
          <w:i/>
          <w:sz w:val="20"/>
          <w:szCs w:val="20"/>
          <w:lang w:eastAsia="ja-JP"/>
        </w:rPr>
      </w:pPr>
      <w:r>
        <w:rPr>
          <w:rFonts w:ascii="Times New Roman" w:hAnsi="Times New Roman" w:eastAsia="宋体"/>
          <w:i/>
          <w:sz w:val="20"/>
          <w:szCs w:val="20"/>
          <w:lang w:eastAsia="ja-JP"/>
        </w:rPr>
        <w:t>The random phase between hops will damage the positioning performance if it was not adjusted.</w:t>
      </w:r>
    </w:p>
    <w:p>
      <w:pPr>
        <w:numPr>
          <w:ilvl w:val="0"/>
          <w:numId w:val="9"/>
        </w:numPr>
        <w:overflowPunct w:val="0"/>
        <w:autoSpaceDE w:val="0"/>
        <w:autoSpaceDN w:val="0"/>
        <w:adjustRightInd w:val="0"/>
        <w:snapToGrid w:val="0"/>
        <w:spacing w:after="180" w:afterLines="50" w:line="240" w:lineRule="auto"/>
        <w:contextualSpacing/>
        <w:jc w:val="both"/>
        <w:textAlignment w:val="baseline"/>
        <w:rPr>
          <w:rFonts w:ascii="Times New Roman" w:hAnsi="Times New Roman" w:eastAsia="宋体"/>
          <w:i/>
          <w:sz w:val="20"/>
          <w:szCs w:val="20"/>
          <w:lang w:eastAsia="ja-JP"/>
        </w:rPr>
      </w:pPr>
      <w:r>
        <w:rPr>
          <w:rFonts w:ascii="Times New Roman" w:hAnsi="Times New Roman" w:eastAsia="宋体"/>
          <w:i/>
          <w:sz w:val="20"/>
          <w:szCs w:val="20"/>
          <w:lang w:eastAsia="ja-JP"/>
        </w:rPr>
        <w:t>PRS frequency hopping can improve positioning performance if the random phase between hops can be adjusted.</w:t>
      </w:r>
    </w:p>
    <w:p>
      <w:pPr>
        <w:snapToGrid w:val="0"/>
        <w:spacing w:after="180" w:afterLines="50" w:line="240" w:lineRule="auto"/>
        <w:rPr>
          <w:rFonts w:ascii="Times New Roman" w:hAnsi="Times New Roman" w:eastAsia="宋体"/>
          <w:i/>
          <w:sz w:val="20"/>
          <w:szCs w:val="20"/>
        </w:rPr>
      </w:pPr>
      <w:r>
        <w:rPr>
          <w:rFonts w:ascii="Times New Roman" w:hAnsi="Times New Roman" w:eastAsia="宋体"/>
          <w:b/>
          <w:i/>
          <w:sz w:val="20"/>
          <w:szCs w:val="20"/>
        </w:rPr>
        <w:t>Observation 3</w:t>
      </w:r>
      <w:r>
        <w:rPr>
          <w:rFonts w:ascii="Times New Roman" w:hAnsi="Times New Roman" w:eastAsia="宋体"/>
          <w:i/>
          <w:sz w:val="20"/>
          <w:szCs w:val="20"/>
        </w:rPr>
        <w:t xml:space="preserve">: The Doppler shift has little effect on positioning accuracy of </w:t>
      </w:r>
      <w:r>
        <w:rPr>
          <w:rFonts w:hint="eastAsia" w:ascii="Times New Roman" w:hAnsi="Times New Roman" w:eastAsia="宋体"/>
          <w:i/>
          <w:sz w:val="20"/>
          <w:szCs w:val="20"/>
        </w:rPr>
        <w:t xml:space="preserve">RS </w:t>
      </w:r>
      <w:r>
        <w:rPr>
          <w:rFonts w:ascii="Times New Roman" w:hAnsi="Times New Roman" w:eastAsia="宋体"/>
          <w:i/>
          <w:sz w:val="20"/>
          <w:szCs w:val="20"/>
        </w:rPr>
        <w:t>hopping for RedCap UE under InF-SH scenario</w:t>
      </w:r>
      <w:r>
        <w:rPr>
          <w:rFonts w:hint="eastAsia" w:ascii="Times New Roman" w:hAnsi="Times New Roman" w:eastAsia="宋体"/>
          <w:i/>
          <w:sz w:val="20"/>
          <w:szCs w:val="20"/>
        </w:rPr>
        <w:t xml:space="preserve"> in FR1</w:t>
      </w:r>
      <w:r>
        <w:rPr>
          <w:rFonts w:ascii="Times New Roman" w:hAnsi="Times New Roman" w:eastAsia="宋体"/>
          <w:i/>
          <w:sz w:val="20"/>
          <w:szCs w:val="20"/>
        </w:rPr>
        <w:t>.</w:t>
      </w:r>
    </w:p>
    <w:p>
      <w:pPr>
        <w:snapToGrid w:val="0"/>
        <w:spacing w:after="180" w:afterLines="50" w:line="240" w:lineRule="auto"/>
        <w:jc w:val="both"/>
        <w:rPr>
          <w:rFonts w:ascii="Times New Roman" w:hAnsi="Times New Roman" w:eastAsia="宋体"/>
          <w:i/>
          <w:sz w:val="20"/>
        </w:rPr>
      </w:pPr>
      <w:r>
        <w:rPr>
          <w:rFonts w:ascii="Times New Roman" w:hAnsi="Times New Roman" w:eastAsia="宋体"/>
          <w:b/>
          <w:i/>
          <w:sz w:val="20"/>
        </w:rPr>
        <w:t>Observation 4:</w:t>
      </w:r>
      <w:r>
        <w:rPr>
          <w:rFonts w:ascii="Times New Roman" w:hAnsi="Times New Roman" w:eastAsia="宋体"/>
          <w:i/>
          <w:sz w:val="20"/>
        </w:rPr>
        <w:t xml:space="preserve"> </w:t>
      </w:r>
      <w:r>
        <w:rPr>
          <w:rFonts w:hint="eastAsia" w:ascii="Times New Roman" w:hAnsi="Times New Roman" w:eastAsia="宋体"/>
          <w:i/>
          <w:sz w:val="20"/>
        </w:rPr>
        <w:t>For the case with 5 RS hops in FR1, i</w:t>
      </w:r>
      <w:r>
        <w:rPr>
          <w:rFonts w:ascii="Times New Roman" w:hAnsi="Times New Roman" w:eastAsia="宋体"/>
          <w:i/>
          <w:sz w:val="20"/>
        </w:rPr>
        <w:t>f the phase offset between hops were not adjusted, it will affect positioning accuracy of hopping for RedCap UE.</w:t>
      </w:r>
    </w:p>
    <w:p>
      <w:pPr>
        <w:numPr>
          <w:ilvl w:val="0"/>
          <w:numId w:val="10"/>
        </w:numPr>
        <w:overflowPunct w:val="0"/>
        <w:autoSpaceDE w:val="0"/>
        <w:autoSpaceDN w:val="0"/>
        <w:adjustRightInd w:val="0"/>
        <w:snapToGrid w:val="0"/>
        <w:spacing w:after="180" w:afterLines="50" w:line="240" w:lineRule="auto"/>
        <w:contextualSpacing/>
        <w:jc w:val="both"/>
        <w:textAlignment w:val="baseline"/>
        <w:rPr>
          <w:i/>
          <w:sz w:val="20"/>
        </w:rPr>
      </w:pPr>
      <w:r>
        <w:rPr>
          <w:rFonts w:ascii="Times New Roman" w:hAnsi="Times New Roman" w:eastAsia="宋体"/>
          <w:i/>
          <w:sz w:val="20"/>
          <w:szCs w:val="20"/>
          <w:lang w:eastAsia="ja-JP"/>
        </w:rPr>
        <w:t xml:space="preserve">When </w:t>
      </w:r>
      <w:r>
        <w:rPr>
          <w:rFonts w:hint="eastAsia" w:ascii="Times New Roman" w:hAnsi="Times New Roman" w:eastAsia="宋体"/>
          <w:i/>
          <w:sz w:val="20"/>
          <w:szCs w:val="20"/>
        </w:rPr>
        <w:t xml:space="preserve">If </w:t>
      </w:r>
      <w:r>
        <w:rPr>
          <w:rFonts w:ascii="Times New Roman" w:hAnsi="Times New Roman" w:eastAsia="宋体"/>
          <w:i/>
          <w:sz w:val="20"/>
          <w:szCs w:val="20"/>
          <w:lang w:eastAsia="ja-JP"/>
        </w:rPr>
        <w:t xml:space="preserve">the random phase offset is set to 0.5*2π or larger than 0.5*2π </w:t>
      </w:r>
      <w:r>
        <w:rPr>
          <w:rFonts w:hint="eastAsia" w:ascii="Times New Roman" w:hAnsi="Times New Roman" w:eastAsia="宋体"/>
          <w:i/>
          <w:sz w:val="20"/>
          <w:szCs w:val="20"/>
        </w:rPr>
        <w:t>(in STD)</w:t>
      </w:r>
      <w:r>
        <w:rPr>
          <w:rFonts w:ascii="Times New Roman" w:hAnsi="Times New Roman" w:eastAsia="宋体"/>
          <w:i/>
          <w:sz w:val="20"/>
          <w:szCs w:val="20"/>
          <w:lang w:eastAsia="ja-JP"/>
        </w:rPr>
        <w:t>, the positioning accuracy requirement can not be satisfied.</w:t>
      </w:r>
      <w:r>
        <w:rPr>
          <w:rFonts w:hint="eastAsia" w:ascii="Times New Roman" w:hAnsi="Times New Roman" w:eastAsia="宋体"/>
          <w:i/>
          <w:sz w:val="20"/>
          <w:szCs w:val="20"/>
        </w:rPr>
        <w:t xml:space="preserve"> Otherwise, the requirement can </w:t>
      </w:r>
      <w:bookmarkStart w:id="6" w:name="_GoBack"/>
      <w:bookmarkEnd w:id="6"/>
      <w:r>
        <w:rPr>
          <w:rFonts w:hint="eastAsia" w:ascii="Times New Roman" w:hAnsi="Times New Roman" w:eastAsia="宋体"/>
          <w:i/>
          <w:sz w:val="20"/>
          <w:szCs w:val="20"/>
          <w:lang w:eastAsia="zh-CN"/>
        </w:rPr>
        <w:t>still</w:t>
      </w:r>
      <w:r>
        <w:rPr>
          <w:rFonts w:hint="eastAsia" w:ascii="Times New Roman" w:hAnsi="Times New Roman" w:eastAsia="宋体"/>
          <w:i/>
          <w:sz w:val="20"/>
          <w:szCs w:val="20"/>
        </w:rPr>
        <w:t xml:space="preserve"> be met. </w:t>
      </w:r>
    </w:p>
    <w:p>
      <w:pPr>
        <w:snapToGrid w:val="0"/>
        <w:spacing w:after="180" w:afterLines="50" w:line="240" w:lineRule="auto"/>
        <w:rPr>
          <w:rFonts w:ascii="Times New Roman" w:hAnsi="Times New Roman" w:eastAsia="宋体"/>
          <w:i/>
          <w:sz w:val="20"/>
        </w:rPr>
      </w:pPr>
      <w:r>
        <w:rPr>
          <w:rFonts w:ascii="Times New Roman" w:hAnsi="Times New Roman" w:eastAsia="宋体"/>
          <w:b/>
          <w:i/>
          <w:sz w:val="20"/>
        </w:rPr>
        <w:t>Observation 5:</w:t>
      </w:r>
      <w:r>
        <w:rPr>
          <w:rFonts w:ascii="Times New Roman" w:hAnsi="Times New Roman" w:eastAsia="宋体"/>
          <w:i/>
          <w:sz w:val="20"/>
        </w:rPr>
        <w:t xml:space="preserve"> </w:t>
      </w:r>
      <w:r>
        <w:rPr>
          <w:rFonts w:hint="eastAsia" w:ascii="Times New Roman" w:hAnsi="Times New Roman" w:eastAsia="宋体"/>
          <w:i/>
          <w:sz w:val="20"/>
        </w:rPr>
        <w:t>For the case with 5 RS hops in FR1, t</w:t>
      </w:r>
      <w:r>
        <w:rPr>
          <w:rFonts w:ascii="Times New Roman" w:hAnsi="Times New Roman" w:eastAsia="宋体"/>
          <w:i/>
          <w:sz w:val="20"/>
        </w:rPr>
        <w:t>he time offset between hops will decrease positioning accuracy of hopping for RedCap UE.</w:t>
      </w:r>
    </w:p>
    <w:p>
      <w:pPr>
        <w:numPr>
          <w:ilvl w:val="0"/>
          <w:numId w:val="10"/>
        </w:numPr>
        <w:overflowPunct w:val="0"/>
        <w:autoSpaceDE w:val="0"/>
        <w:autoSpaceDN w:val="0"/>
        <w:adjustRightInd w:val="0"/>
        <w:snapToGrid w:val="0"/>
        <w:spacing w:after="180" w:afterLines="50" w:line="240" w:lineRule="auto"/>
        <w:contextualSpacing/>
        <w:textAlignment w:val="baseline"/>
        <w:rPr>
          <w:rFonts w:ascii="Times New Roman" w:hAnsi="Times New Roman" w:eastAsia="宋体"/>
          <w:i/>
          <w:sz w:val="20"/>
          <w:szCs w:val="20"/>
          <w:lang w:eastAsia="ja-JP"/>
        </w:rPr>
      </w:pPr>
      <w:r>
        <w:rPr>
          <w:rFonts w:ascii="Times New Roman" w:hAnsi="Times New Roman" w:eastAsia="宋体"/>
          <w:i/>
          <w:sz w:val="20"/>
          <w:szCs w:val="20"/>
          <w:lang w:eastAsia="ja-JP"/>
        </w:rPr>
        <w:t>When the random timing offset is equal to or larger than 3ns</w:t>
      </w:r>
      <w:r>
        <w:rPr>
          <w:rFonts w:hint="eastAsia" w:ascii="Times New Roman" w:hAnsi="Times New Roman" w:eastAsia="宋体"/>
          <w:i/>
          <w:sz w:val="20"/>
          <w:szCs w:val="20"/>
        </w:rPr>
        <w:t xml:space="preserve"> (in STD)</w:t>
      </w:r>
      <w:r>
        <w:rPr>
          <w:rFonts w:ascii="Times New Roman" w:hAnsi="Times New Roman" w:eastAsia="宋体"/>
          <w:i/>
          <w:sz w:val="20"/>
          <w:szCs w:val="20"/>
          <w:lang w:eastAsia="ja-JP"/>
        </w:rPr>
        <w:t>, the positioning accuracy requirement can not be met.</w:t>
      </w:r>
      <w:r>
        <w:rPr>
          <w:rFonts w:hint="eastAsia" w:ascii="Times New Roman" w:hAnsi="Times New Roman" w:eastAsia="宋体"/>
          <w:i/>
          <w:sz w:val="20"/>
          <w:szCs w:val="20"/>
        </w:rPr>
        <w:t xml:space="preserve"> Otherwise, the requirement can </w:t>
      </w:r>
      <w:r>
        <w:rPr>
          <w:rFonts w:hint="eastAsia" w:ascii="Times New Roman" w:hAnsi="Times New Roman" w:eastAsia="宋体"/>
          <w:i/>
          <w:sz w:val="20"/>
          <w:szCs w:val="20"/>
          <w:lang w:val="en-US" w:eastAsia="zh-CN"/>
        </w:rPr>
        <w:t xml:space="preserve">still </w:t>
      </w:r>
      <w:r>
        <w:rPr>
          <w:rFonts w:hint="eastAsia" w:ascii="Times New Roman" w:hAnsi="Times New Roman" w:eastAsia="宋体"/>
          <w:i/>
          <w:sz w:val="20"/>
          <w:szCs w:val="20"/>
        </w:rPr>
        <w:t>be met.</w:t>
      </w:r>
    </w:p>
    <w:p>
      <w:pPr>
        <w:autoSpaceDE w:val="0"/>
        <w:autoSpaceDN w:val="0"/>
        <w:adjustRightInd w:val="0"/>
        <w:snapToGrid w:val="0"/>
        <w:spacing w:after="180" w:afterLines="50" w:line="240" w:lineRule="auto"/>
        <w:jc w:val="both"/>
        <w:rPr>
          <w:rFonts w:ascii="Times New Roman" w:hAnsi="Times New Roman" w:eastAsia="宋体"/>
          <w:i/>
          <w:sz w:val="20"/>
          <w:szCs w:val="20"/>
        </w:rPr>
      </w:pPr>
      <w:r>
        <w:rPr>
          <w:rFonts w:ascii="Times New Roman" w:hAnsi="Times New Roman" w:eastAsia="宋体"/>
          <w:b/>
          <w:i/>
          <w:sz w:val="20"/>
          <w:szCs w:val="20"/>
        </w:rPr>
        <w:t xml:space="preserve">Observation 6: </w:t>
      </w:r>
      <w:r>
        <w:rPr>
          <w:rFonts w:ascii="Times New Roman" w:hAnsi="Times New Roman" w:eastAsia="宋体"/>
          <w:i/>
          <w:sz w:val="20"/>
          <w:szCs w:val="20"/>
        </w:rPr>
        <w:t>For RedCap UE positioning in FR 2, InF-SH scenario, PRS frequency hopping can improve positioning performance if the random phase between hops can be adjusted.</w:t>
      </w:r>
    </w:p>
    <w:p>
      <w:pPr>
        <w:widowControl w:val="0"/>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
          <w:bCs/>
          <w:i/>
          <w:iCs/>
          <w:kern w:val="2"/>
          <w:sz w:val="20"/>
          <w:szCs w:val="20"/>
        </w:rPr>
        <w:t xml:space="preserve">Proposal 1: </w:t>
      </w:r>
      <w:r>
        <w:rPr>
          <w:rFonts w:hint="eastAsia" w:ascii="Times New Roman" w:hAnsi="Times New Roman" w:eastAsia="宋体"/>
          <w:bCs/>
          <w:i/>
          <w:iCs/>
          <w:kern w:val="2"/>
          <w:sz w:val="20"/>
          <w:szCs w:val="20"/>
        </w:rPr>
        <w:t>For RedCap UE, further study the following candidate solutions of RS resource frequency hopping:</w:t>
      </w:r>
    </w:p>
    <w:p>
      <w:pPr>
        <w:widowControl w:val="0"/>
        <w:numPr>
          <w:ilvl w:val="0"/>
          <w:numId w:val="8"/>
        </w:numPr>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Cs/>
          <w:i/>
          <w:iCs/>
          <w:kern w:val="2"/>
          <w:sz w:val="20"/>
          <w:szCs w:val="20"/>
        </w:rPr>
        <w:t>Frequency h</w:t>
      </w:r>
      <w:r>
        <w:rPr>
          <w:rFonts w:ascii="Times New Roman" w:hAnsi="Times New Roman" w:eastAsia="宋体"/>
          <w:bCs/>
          <w:i/>
          <w:iCs/>
          <w:kern w:val="2"/>
          <w:sz w:val="20"/>
          <w:szCs w:val="20"/>
        </w:rPr>
        <w:t>opping within one resource</w:t>
      </w:r>
    </w:p>
    <w:p>
      <w:pPr>
        <w:widowControl w:val="0"/>
        <w:numPr>
          <w:ilvl w:val="0"/>
          <w:numId w:val="8"/>
        </w:numPr>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Cs/>
          <w:i/>
          <w:iCs/>
          <w:kern w:val="2"/>
          <w:sz w:val="20"/>
          <w:szCs w:val="20"/>
        </w:rPr>
        <w:t>Frequency hopping within one resource set</w:t>
      </w:r>
    </w:p>
    <w:p>
      <w:pPr>
        <w:widowControl w:val="0"/>
        <w:numPr>
          <w:ilvl w:val="0"/>
          <w:numId w:val="8"/>
        </w:numPr>
        <w:adjustRightInd w:val="0"/>
        <w:snapToGrid w:val="0"/>
        <w:spacing w:after="180" w:afterLines="50" w:line="240" w:lineRule="auto"/>
        <w:jc w:val="both"/>
        <w:rPr>
          <w:rFonts w:ascii="Times New Roman" w:hAnsi="Times New Roman" w:eastAsia="宋体"/>
          <w:bCs/>
          <w:i/>
          <w:iCs/>
          <w:kern w:val="2"/>
          <w:sz w:val="20"/>
          <w:szCs w:val="20"/>
        </w:rPr>
      </w:pPr>
      <w:r>
        <w:rPr>
          <w:rFonts w:hint="eastAsia" w:ascii="Times New Roman" w:hAnsi="Times New Roman" w:eastAsia="宋体"/>
          <w:bCs/>
          <w:i/>
          <w:iCs/>
          <w:kern w:val="2"/>
          <w:sz w:val="20"/>
          <w:szCs w:val="20"/>
        </w:rPr>
        <w:t>Frequency hopping between different CCs/BWPs/PFLs/resource sets</w:t>
      </w:r>
    </w:p>
    <w:p>
      <w:pPr>
        <w:widowControl w:val="0"/>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b/>
          <w:bCs/>
          <w:i/>
          <w:iCs/>
          <w:kern w:val="2"/>
          <w:sz w:val="20"/>
          <w:szCs w:val="20"/>
        </w:rPr>
        <w:t xml:space="preserve">Proposal </w:t>
      </w:r>
      <w:r>
        <w:rPr>
          <w:rFonts w:ascii="Times New Roman" w:hAnsi="Times New Roman" w:eastAsia="宋体"/>
          <w:b/>
          <w:bCs/>
          <w:i/>
          <w:iCs/>
          <w:kern w:val="2"/>
          <w:sz w:val="20"/>
          <w:szCs w:val="20"/>
        </w:rPr>
        <w:t>2</w:t>
      </w:r>
      <w:r>
        <w:rPr>
          <w:rFonts w:hint="eastAsia" w:ascii="Times New Roman" w:hAnsi="Times New Roman" w:eastAsia="宋体"/>
          <w:b/>
          <w:bCs/>
          <w:i/>
          <w:iCs/>
          <w:kern w:val="2"/>
          <w:sz w:val="20"/>
          <w:szCs w:val="20"/>
        </w:rPr>
        <w:t xml:space="preserve">: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positioning</w:t>
      </w:r>
      <w:r>
        <w:rPr>
          <w:rFonts w:hint="eastAsia" w:ascii="Times New Roman" w:hAnsi="Times New Roman" w:eastAsia="宋体"/>
          <w:bCs/>
          <w:i/>
          <w:iCs/>
          <w:kern w:val="2"/>
          <w:sz w:val="20"/>
          <w:szCs w:val="20"/>
        </w:rPr>
        <w:t xml:space="preserve"> RS, </w:t>
      </w:r>
      <w:r>
        <w:rPr>
          <w:rFonts w:ascii="Times New Roman" w:hAnsi="Times New Roman" w:eastAsia="宋体"/>
          <w:bCs/>
          <w:i/>
          <w:iCs/>
          <w:kern w:val="2"/>
          <w:sz w:val="20"/>
          <w:szCs w:val="20"/>
        </w:rPr>
        <w:t xml:space="preserve">introduce </w:t>
      </w:r>
      <w:r>
        <w:rPr>
          <w:rFonts w:hint="eastAsia" w:ascii="Times New Roman" w:hAnsi="Times New Roman" w:eastAsia="宋体"/>
          <w:bCs/>
          <w:i/>
          <w:iCs/>
          <w:kern w:val="2"/>
          <w:sz w:val="20"/>
          <w:szCs w:val="20"/>
        </w:rPr>
        <w:t xml:space="preserve">partial </w:t>
      </w:r>
      <w:r>
        <w:rPr>
          <w:rFonts w:ascii="Times New Roman" w:hAnsi="Times New Roman" w:eastAsia="宋体"/>
          <w:bCs/>
          <w:i/>
          <w:iCs/>
          <w:kern w:val="2"/>
          <w:sz w:val="20"/>
          <w:szCs w:val="20"/>
        </w:rPr>
        <w:t xml:space="preserve">overlapping </w:t>
      </w:r>
      <w:r>
        <w:rPr>
          <w:rFonts w:hint="eastAsia" w:ascii="Times New Roman" w:hAnsi="Times New Roman" w:eastAsia="宋体"/>
          <w:bCs/>
          <w:i/>
          <w:iCs/>
          <w:kern w:val="2"/>
          <w:sz w:val="20"/>
          <w:szCs w:val="20"/>
        </w:rPr>
        <w:t xml:space="preserve">in </w:t>
      </w:r>
      <w:r>
        <w:rPr>
          <w:rFonts w:ascii="Times New Roman" w:hAnsi="Times New Roman" w:eastAsia="宋体"/>
          <w:bCs/>
          <w:i/>
          <w:iCs/>
          <w:kern w:val="2"/>
          <w:sz w:val="20"/>
          <w:szCs w:val="20"/>
        </w:rPr>
        <w:t xml:space="preserve">frequency </w:t>
      </w:r>
      <w:r>
        <w:rPr>
          <w:rFonts w:hint="eastAsia" w:ascii="Times New Roman" w:hAnsi="Times New Roman" w:eastAsia="宋体"/>
          <w:bCs/>
          <w:i/>
          <w:iCs/>
          <w:kern w:val="2"/>
          <w:sz w:val="20"/>
          <w:szCs w:val="20"/>
        </w:rPr>
        <w:t>for</w:t>
      </w:r>
      <w:r>
        <w:rPr>
          <w:rFonts w:ascii="Times New Roman" w:hAnsi="Times New Roman" w:eastAsia="宋体"/>
          <w:bCs/>
          <w:i/>
          <w:iCs/>
          <w:kern w:val="2"/>
          <w:sz w:val="20"/>
          <w:szCs w:val="20"/>
        </w:rPr>
        <w:t xml:space="preserve"> adjacent hops.</w:t>
      </w:r>
    </w:p>
    <w:p>
      <w:pPr>
        <w:widowControl w:val="0"/>
        <w:snapToGrid w:val="0"/>
        <w:spacing w:before="180" w:beforeLines="50" w:after="180" w:afterLines="50" w:line="240" w:lineRule="auto"/>
        <w:rPr>
          <w:rFonts w:ascii="Times New Roman" w:hAnsi="Times New Roman" w:eastAsia="宋体"/>
          <w:sz w:val="20"/>
          <w:szCs w:val="20"/>
        </w:rPr>
      </w:pPr>
      <w:r>
        <w:rPr>
          <w:rFonts w:hint="eastAsia" w:ascii="Times New Roman" w:hAnsi="Times New Roman" w:eastAsia="宋体"/>
          <w:b/>
          <w:bCs/>
          <w:i/>
          <w:iCs/>
          <w:kern w:val="2"/>
          <w:sz w:val="20"/>
          <w:szCs w:val="20"/>
        </w:rPr>
        <w:t xml:space="preserve">Proposal </w:t>
      </w:r>
      <w:r>
        <w:rPr>
          <w:rFonts w:ascii="Times New Roman" w:hAnsi="Times New Roman" w:eastAsia="宋体"/>
          <w:b/>
          <w:bCs/>
          <w:i/>
          <w:iCs/>
          <w:kern w:val="2"/>
          <w:sz w:val="20"/>
          <w:szCs w:val="20"/>
        </w:rPr>
        <w:t>3</w:t>
      </w:r>
      <w:r>
        <w:rPr>
          <w:rFonts w:hint="eastAsia" w:ascii="Times New Roman" w:hAnsi="Times New Roman" w:eastAsia="宋体"/>
          <w:b/>
          <w:bCs/>
          <w:i/>
          <w:iCs/>
          <w:kern w:val="2"/>
          <w:sz w:val="20"/>
          <w:szCs w:val="20"/>
        </w:rPr>
        <w:t xml:space="preserve">: </w:t>
      </w:r>
      <w:r>
        <w:rPr>
          <w:rFonts w:hint="eastAsia" w:ascii="Times New Roman" w:hAnsi="Times New Roman" w:eastAsia="宋体"/>
          <w:bCs/>
          <w:i/>
          <w:iCs/>
          <w:kern w:val="2"/>
          <w:sz w:val="20"/>
          <w:szCs w:val="20"/>
        </w:rPr>
        <w:t>For RedCap UE</w:t>
      </w:r>
      <w:r>
        <w:rPr>
          <w:rFonts w:ascii="Times New Roman" w:hAnsi="Times New Roman" w:eastAsia="宋体"/>
          <w:bCs/>
          <w:i/>
          <w:iCs/>
          <w:kern w:val="2"/>
          <w:sz w:val="20"/>
          <w:szCs w:val="20"/>
        </w:rPr>
        <w:t xml:space="preserve"> positioning</w:t>
      </w:r>
      <w:r>
        <w:rPr>
          <w:rFonts w:hint="eastAsia" w:ascii="Times New Roman" w:hAnsi="Times New Roman" w:eastAsia="宋体"/>
          <w:bCs/>
          <w:i/>
          <w:iCs/>
          <w:kern w:val="2"/>
          <w:sz w:val="20"/>
          <w:szCs w:val="20"/>
        </w:rPr>
        <w:t xml:space="preserve">, further </w:t>
      </w:r>
      <w:r>
        <w:rPr>
          <w:rFonts w:ascii="Times New Roman" w:hAnsi="Times New Roman" w:eastAsia="宋体"/>
          <w:bCs/>
          <w:i/>
          <w:iCs/>
          <w:kern w:val="2"/>
          <w:sz w:val="20"/>
          <w:szCs w:val="20"/>
        </w:rPr>
        <w:t>introduce switching gap between adjacent frequency hops.</w:t>
      </w:r>
      <w:r>
        <w:rPr>
          <w:rFonts w:hint="eastAsia" w:ascii="Times New Roman" w:hAnsi="Times New Roman" w:eastAsia="宋体"/>
          <w:bCs/>
          <w:i/>
          <w:iCs/>
          <w:kern w:val="2"/>
          <w:sz w:val="20"/>
          <w:szCs w:val="20"/>
        </w:rPr>
        <w:t xml:space="preserve"> FFS the gap values.</w:t>
      </w:r>
    </w:p>
    <w:p>
      <w:pPr>
        <w:widowControl w:val="0"/>
        <w:snapToGrid w:val="0"/>
        <w:spacing w:before="180" w:beforeLines="50" w:after="180" w:afterLines="50" w:line="240" w:lineRule="auto"/>
        <w:jc w:val="both"/>
        <w:rPr>
          <w:rFonts w:ascii="Times New Roman" w:hAnsi="Times New Roman"/>
          <w:sz w:val="20"/>
          <w:szCs w:val="20"/>
        </w:rPr>
      </w:pPr>
    </w:p>
    <w:p>
      <w:pPr>
        <w:pStyle w:val="2"/>
        <w:snapToGrid w:val="0"/>
        <w:spacing w:before="120" w:after="180" w:afterLines="50"/>
        <w:ind w:left="431" w:hanging="431"/>
        <w:jc w:val="both"/>
        <w:rPr>
          <w:sz w:val="28"/>
          <w:lang w:val="en-US"/>
        </w:rPr>
      </w:pPr>
      <w:r>
        <w:rPr>
          <w:rFonts w:hint="eastAsia"/>
          <w:sz w:val="28"/>
          <w:lang w:val="en-US"/>
        </w:rPr>
        <w:t>Reference</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RP-213588 Revised SID on Study on expanded and improved NR positioning, RAN#94e.</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Draft_Minutes_report_RAN1#110_v020, 3GPP RAN1#110</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3GPP TR 38.859. “Study on Expanded and Improved NR Positioning; (Release 18)”.</w:t>
      </w:r>
    </w:p>
    <w:p>
      <w:pPr>
        <w:numPr>
          <w:ilvl w:val="0"/>
          <w:numId w:val="11"/>
        </w:numPr>
        <w:autoSpaceDE w:val="0"/>
        <w:autoSpaceDN w:val="0"/>
        <w:adjustRightInd w:val="0"/>
        <w:snapToGrid w:val="0"/>
        <w:spacing w:after="0" w:line="240" w:lineRule="auto"/>
        <w:jc w:val="both"/>
        <w:rPr>
          <w:rFonts w:ascii="Times New Roman" w:hAnsi="Times New Roman" w:eastAsia="宋体"/>
          <w:sz w:val="20"/>
          <w:szCs w:val="20"/>
        </w:rPr>
      </w:pPr>
      <w:r>
        <w:rPr>
          <w:rFonts w:hint="eastAsia" w:ascii="Times New Roman" w:hAnsi="Times New Roman" w:eastAsia="宋体"/>
          <w:kern w:val="2"/>
          <w:sz w:val="20"/>
          <w:szCs w:val="20"/>
        </w:rPr>
        <w:t xml:space="preserve">3GPP TR 38.857. </w:t>
      </w:r>
      <w:r>
        <w:rPr>
          <w:rFonts w:ascii="Times New Roman" w:hAnsi="Times New Roman" w:eastAsia="宋体"/>
          <w:kern w:val="2"/>
          <w:sz w:val="20"/>
          <w:szCs w:val="20"/>
        </w:rPr>
        <w:t>“Study on NR Positioning Enhancements”</w:t>
      </w:r>
    </w:p>
    <w:p>
      <w:pPr>
        <w:autoSpaceDE w:val="0"/>
        <w:autoSpaceDN w:val="0"/>
        <w:adjustRightInd w:val="0"/>
        <w:snapToGrid w:val="0"/>
        <w:spacing w:after="120" w:line="240" w:lineRule="auto"/>
        <w:jc w:val="both"/>
        <w:rPr>
          <w:rFonts w:ascii="Times New Roman" w:hAnsi="Times New Roman" w:eastAsia="宋体"/>
          <w:sz w:val="20"/>
          <w:szCs w:val="20"/>
        </w:rPr>
      </w:pP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8</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0965C368"/>
    <w:multiLevelType w:val="singleLevel"/>
    <w:tmpl w:val="0965C368"/>
    <w:lvl w:ilvl="0" w:tentative="0">
      <w:start w:val="1"/>
      <w:numFmt w:val="bullet"/>
      <w:lvlText w:val=""/>
      <w:lvlJc w:val="left"/>
      <w:pPr>
        <w:ind w:left="420" w:hanging="420"/>
      </w:pPr>
      <w:rPr>
        <w:rFonts w:hint="default" w:ascii="Wingdings" w:hAnsi="Wingdings"/>
      </w:rPr>
    </w:lvl>
  </w:abstractNum>
  <w:abstractNum w:abstractNumId="2">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AAE1D74"/>
    <w:multiLevelType w:val="multilevel"/>
    <w:tmpl w:val="2AAE1D7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0ED3FAB"/>
    <w:multiLevelType w:val="multilevel"/>
    <w:tmpl w:val="30ED3FAB"/>
    <w:lvl w:ilvl="0" w:tentative="0">
      <w:start w:val="0"/>
      <w:numFmt w:val="bullet"/>
      <w:lvlText w:val="-"/>
      <w:lvlJc w:val="left"/>
      <w:pPr>
        <w:ind w:left="420" w:hanging="420"/>
      </w:pPr>
      <w:rPr>
        <w:rFonts w:hint="default" w:ascii="Arial" w:hAnsi="Arial" w:eastAsia="Malgun Gothic"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103"/>
      <w:lvlText w:val="Proposal %1"/>
      <w:lvlJc w:val="left"/>
      <w:pPr>
        <w:tabs>
          <w:tab w:val="left" w:pos="1730"/>
        </w:tabs>
        <w:ind w:left="1730"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6"/>
      <w:numFmt w:val="bullet"/>
      <w:lvlText w:val="-"/>
      <w:lvlJc w:val="left"/>
      <w:pPr>
        <w:ind w:left="2880" w:hanging="360"/>
      </w:pPr>
      <w:rPr>
        <w:rFonts w:hint="default" w:ascii="Arial" w:hAnsi="Arial" w:eastAsia="Times New Roman" w:cs="Aria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58796506"/>
    <w:multiLevelType w:val="multilevel"/>
    <w:tmpl w:val="58796506"/>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Tahoma" w:hAnsi="Tahoma"/>
      </w:rPr>
    </w:lvl>
    <w:lvl w:ilvl="2" w:tentative="0">
      <w:start w:val="1"/>
      <w:numFmt w:val="bullet"/>
      <w:lvlText w:val=""/>
      <w:lvlJc w:val="left"/>
      <w:pPr>
        <w:tabs>
          <w:tab w:val="left" w:pos="1680"/>
        </w:tabs>
        <w:ind w:left="1680" w:hanging="420"/>
      </w:pPr>
      <w:rPr>
        <w:rFonts w:hint="default" w:ascii="Tahoma" w:hAnsi="Tahoma"/>
      </w:rPr>
    </w:lvl>
    <w:lvl w:ilvl="3" w:tentative="0">
      <w:start w:val="1"/>
      <w:numFmt w:val="bullet"/>
      <w:lvlText w:val=""/>
      <w:lvlJc w:val="left"/>
      <w:pPr>
        <w:tabs>
          <w:tab w:val="left" w:pos="2100"/>
        </w:tabs>
        <w:ind w:left="2100" w:hanging="420"/>
      </w:pPr>
      <w:rPr>
        <w:rFonts w:hint="default" w:ascii="Tahoma" w:hAnsi="Tahoma"/>
      </w:rPr>
    </w:lvl>
    <w:lvl w:ilvl="4" w:tentative="0">
      <w:start w:val="1"/>
      <w:numFmt w:val="bullet"/>
      <w:lvlText w:val=""/>
      <w:lvlJc w:val="left"/>
      <w:pPr>
        <w:tabs>
          <w:tab w:val="left" w:pos="2520"/>
        </w:tabs>
        <w:ind w:left="2520" w:hanging="420"/>
      </w:pPr>
      <w:rPr>
        <w:rFonts w:hint="default" w:ascii="Tahoma" w:hAnsi="Tahoma"/>
      </w:rPr>
    </w:lvl>
    <w:lvl w:ilvl="5" w:tentative="0">
      <w:start w:val="1"/>
      <w:numFmt w:val="bullet"/>
      <w:lvlText w:val=""/>
      <w:lvlJc w:val="left"/>
      <w:pPr>
        <w:tabs>
          <w:tab w:val="left" w:pos="2940"/>
        </w:tabs>
        <w:ind w:left="2940" w:hanging="420"/>
      </w:pPr>
      <w:rPr>
        <w:rFonts w:hint="default" w:ascii="Tahoma" w:hAnsi="Tahoma"/>
      </w:rPr>
    </w:lvl>
    <w:lvl w:ilvl="6" w:tentative="0">
      <w:start w:val="1"/>
      <w:numFmt w:val="bullet"/>
      <w:lvlText w:val=""/>
      <w:lvlJc w:val="left"/>
      <w:pPr>
        <w:tabs>
          <w:tab w:val="left" w:pos="3360"/>
        </w:tabs>
        <w:ind w:left="3360" w:hanging="420"/>
      </w:pPr>
      <w:rPr>
        <w:rFonts w:hint="default" w:ascii="Tahoma" w:hAnsi="Tahoma"/>
      </w:rPr>
    </w:lvl>
    <w:lvl w:ilvl="7" w:tentative="0">
      <w:start w:val="1"/>
      <w:numFmt w:val="bullet"/>
      <w:lvlText w:val=""/>
      <w:lvlJc w:val="left"/>
      <w:pPr>
        <w:tabs>
          <w:tab w:val="left" w:pos="3780"/>
        </w:tabs>
        <w:ind w:left="3780" w:hanging="420"/>
      </w:pPr>
      <w:rPr>
        <w:rFonts w:hint="default" w:ascii="Tahoma" w:hAnsi="Tahoma"/>
      </w:rPr>
    </w:lvl>
    <w:lvl w:ilvl="8" w:tentative="0">
      <w:start w:val="1"/>
      <w:numFmt w:val="bullet"/>
      <w:lvlText w:val=""/>
      <w:lvlJc w:val="left"/>
      <w:pPr>
        <w:tabs>
          <w:tab w:val="left" w:pos="4200"/>
        </w:tabs>
        <w:ind w:left="4200" w:hanging="420"/>
      </w:pPr>
      <w:rPr>
        <w:rFonts w:hint="default" w:ascii="Tahoma" w:hAnsi="Tahoma"/>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9">
    <w:nsid w:val="7A2F3A85"/>
    <w:multiLevelType w:val="multilevel"/>
    <w:tmpl w:val="7A2F3A85"/>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Tahoma" w:hAnsi="Tahoma"/>
      </w:rPr>
    </w:lvl>
    <w:lvl w:ilvl="2" w:tentative="0">
      <w:start w:val="1"/>
      <w:numFmt w:val="bullet"/>
      <w:lvlText w:val=""/>
      <w:lvlJc w:val="left"/>
      <w:pPr>
        <w:tabs>
          <w:tab w:val="left" w:pos="1680"/>
        </w:tabs>
        <w:ind w:left="1680" w:hanging="420"/>
      </w:pPr>
      <w:rPr>
        <w:rFonts w:hint="default" w:ascii="Tahoma" w:hAnsi="Tahoma"/>
      </w:rPr>
    </w:lvl>
    <w:lvl w:ilvl="3" w:tentative="0">
      <w:start w:val="1"/>
      <w:numFmt w:val="bullet"/>
      <w:lvlText w:val=""/>
      <w:lvlJc w:val="left"/>
      <w:pPr>
        <w:tabs>
          <w:tab w:val="left" w:pos="2100"/>
        </w:tabs>
        <w:ind w:left="2100" w:hanging="420"/>
      </w:pPr>
      <w:rPr>
        <w:rFonts w:hint="default" w:ascii="Tahoma" w:hAnsi="Tahoma"/>
      </w:rPr>
    </w:lvl>
    <w:lvl w:ilvl="4" w:tentative="0">
      <w:start w:val="1"/>
      <w:numFmt w:val="bullet"/>
      <w:lvlText w:val=""/>
      <w:lvlJc w:val="left"/>
      <w:pPr>
        <w:tabs>
          <w:tab w:val="left" w:pos="2520"/>
        </w:tabs>
        <w:ind w:left="2520" w:hanging="420"/>
      </w:pPr>
      <w:rPr>
        <w:rFonts w:hint="default" w:ascii="Tahoma" w:hAnsi="Tahoma"/>
      </w:rPr>
    </w:lvl>
    <w:lvl w:ilvl="5" w:tentative="0">
      <w:start w:val="1"/>
      <w:numFmt w:val="bullet"/>
      <w:lvlText w:val=""/>
      <w:lvlJc w:val="left"/>
      <w:pPr>
        <w:tabs>
          <w:tab w:val="left" w:pos="2940"/>
        </w:tabs>
        <w:ind w:left="2940" w:hanging="420"/>
      </w:pPr>
      <w:rPr>
        <w:rFonts w:hint="default" w:ascii="Tahoma" w:hAnsi="Tahoma"/>
      </w:rPr>
    </w:lvl>
    <w:lvl w:ilvl="6" w:tentative="0">
      <w:start w:val="1"/>
      <w:numFmt w:val="bullet"/>
      <w:lvlText w:val=""/>
      <w:lvlJc w:val="left"/>
      <w:pPr>
        <w:tabs>
          <w:tab w:val="left" w:pos="3360"/>
        </w:tabs>
        <w:ind w:left="3360" w:hanging="420"/>
      </w:pPr>
      <w:rPr>
        <w:rFonts w:hint="default" w:ascii="Tahoma" w:hAnsi="Tahoma"/>
      </w:rPr>
    </w:lvl>
    <w:lvl w:ilvl="7" w:tentative="0">
      <w:start w:val="1"/>
      <w:numFmt w:val="bullet"/>
      <w:lvlText w:val=""/>
      <w:lvlJc w:val="left"/>
      <w:pPr>
        <w:tabs>
          <w:tab w:val="left" w:pos="3780"/>
        </w:tabs>
        <w:ind w:left="3780" w:hanging="420"/>
      </w:pPr>
      <w:rPr>
        <w:rFonts w:hint="default" w:ascii="Tahoma" w:hAnsi="Tahoma"/>
      </w:rPr>
    </w:lvl>
    <w:lvl w:ilvl="8" w:tentative="0">
      <w:start w:val="1"/>
      <w:numFmt w:val="bullet"/>
      <w:lvlText w:val=""/>
      <w:lvlJc w:val="left"/>
      <w:pPr>
        <w:tabs>
          <w:tab w:val="left" w:pos="4200"/>
        </w:tabs>
        <w:ind w:left="4200" w:hanging="420"/>
      </w:pPr>
      <w:rPr>
        <w:rFonts w:hint="default" w:ascii="Tahoma" w:hAnsi="Tahoma"/>
      </w:rPr>
    </w:lvl>
  </w:abstractNum>
  <w:abstractNum w:abstractNumId="10">
    <w:nsid w:val="7BA82A73"/>
    <w:multiLevelType w:val="multilevel"/>
    <w:tmpl w:val="7BA82A73"/>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Tahoma" w:hAnsi="Tahoma"/>
      </w:rPr>
    </w:lvl>
    <w:lvl w:ilvl="2" w:tentative="0">
      <w:start w:val="1"/>
      <w:numFmt w:val="bullet"/>
      <w:lvlText w:val=""/>
      <w:lvlJc w:val="left"/>
      <w:pPr>
        <w:tabs>
          <w:tab w:val="left" w:pos="1680"/>
        </w:tabs>
        <w:ind w:left="1680" w:hanging="420"/>
      </w:pPr>
      <w:rPr>
        <w:rFonts w:hint="default" w:ascii="Tahoma" w:hAnsi="Tahoma"/>
      </w:rPr>
    </w:lvl>
    <w:lvl w:ilvl="3" w:tentative="0">
      <w:start w:val="1"/>
      <w:numFmt w:val="bullet"/>
      <w:lvlText w:val=""/>
      <w:lvlJc w:val="left"/>
      <w:pPr>
        <w:tabs>
          <w:tab w:val="left" w:pos="2100"/>
        </w:tabs>
        <w:ind w:left="2100" w:hanging="420"/>
      </w:pPr>
      <w:rPr>
        <w:rFonts w:hint="default" w:ascii="Tahoma" w:hAnsi="Tahoma"/>
      </w:rPr>
    </w:lvl>
    <w:lvl w:ilvl="4" w:tentative="0">
      <w:start w:val="1"/>
      <w:numFmt w:val="bullet"/>
      <w:lvlText w:val=""/>
      <w:lvlJc w:val="left"/>
      <w:pPr>
        <w:tabs>
          <w:tab w:val="left" w:pos="2520"/>
        </w:tabs>
        <w:ind w:left="2520" w:hanging="420"/>
      </w:pPr>
      <w:rPr>
        <w:rFonts w:hint="default" w:ascii="Tahoma" w:hAnsi="Tahoma"/>
      </w:rPr>
    </w:lvl>
    <w:lvl w:ilvl="5" w:tentative="0">
      <w:start w:val="1"/>
      <w:numFmt w:val="bullet"/>
      <w:lvlText w:val=""/>
      <w:lvlJc w:val="left"/>
      <w:pPr>
        <w:tabs>
          <w:tab w:val="left" w:pos="2940"/>
        </w:tabs>
        <w:ind w:left="2940" w:hanging="420"/>
      </w:pPr>
      <w:rPr>
        <w:rFonts w:hint="default" w:ascii="Tahoma" w:hAnsi="Tahoma"/>
      </w:rPr>
    </w:lvl>
    <w:lvl w:ilvl="6" w:tentative="0">
      <w:start w:val="1"/>
      <w:numFmt w:val="bullet"/>
      <w:lvlText w:val=""/>
      <w:lvlJc w:val="left"/>
      <w:pPr>
        <w:tabs>
          <w:tab w:val="left" w:pos="3360"/>
        </w:tabs>
        <w:ind w:left="3360" w:hanging="420"/>
      </w:pPr>
      <w:rPr>
        <w:rFonts w:hint="default" w:ascii="Tahoma" w:hAnsi="Tahoma"/>
      </w:rPr>
    </w:lvl>
    <w:lvl w:ilvl="7" w:tentative="0">
      <w:start w:val="1"/>
      <w:numFmt w:val="bullet"/>
      <w:lvlText w:val=""/>
      <w:lvlJc w:val="left"/>
      <w:pPr>
        <w:tabs>
          <w:tab w:val="left" w:pos="3780"/>
        </w:tabs>
        <w:ind w:left="3780" w:hanging="420"/>
      </w:pPr>
      <w:rPr>
        <w:rFonts w:hint="default" w:ascii="Tahoma" w:hAnsi="Tahoma"/>
      </w:rPr>
    </w:lvl>
    <w:lvl w:ilvl="8" w:tentative="0">
      <w:start w:val="1"/>
      <w:numFmt w:val="bullet"/>
      <w:lvlText w:val=""/>
      <w:lvlJc w:val="left"/>
      <w:pPr>
        <w:tabs>
          <w:tab w:val="left" w:pos="4200"/>
        </w:tabs>
        <w:ind w:left="4200" w:hanging="420"/>
      </w:pPr>
      <w:rPr>
        <w:rFonts w:hint="default" w:ascii="Tahoma" w:hAnsi="Tahoma"/>
      </w:rPr>
    </w:lvl>
  </w:abstractNum>
  <w:num w:numId="1">
    <w:abstractNumId w:val="8"/>
  </w:num>
  <w:num w:numId="2">
    <w:abstractNumId w:val="6"/>
  </w:num>
  <w:num w:numId="3">
    <w:abstractNumId w:val="5"/>
  </w:num>
  <w:num w:numId="4">
    <w:abstractNumId w:val="2"/>
  </w:num>
  <w:num w:numId="5">
    <w:abstractNumId w:val="4"/>
  </w:num>
  <w:num w:numId="6">
    <w:abstractNumId w:val="3"/>
  </w:num>
  <w:num w:numId="7">
    <w:abstractNumId w:val="1"/>
  </w:num>
  <w:num w:numId="8">
    <w:abstractNumId w:val="7"/>
  </w:num>
  <w:num w:numId="9">
    <w:abstractNumId w:val="10"/>
  </w:num>
  <w:num w:numId="10">
    <w:abstractNumId w:val="9"/>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1E"/>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3F2B"/>
    <w:rsid w:val="0000404A"/>
    <w:rsid w:val="000042BE"/>
    <w:rsid w:val="000046BC"/>
    <w:rsid w:val="000047CE"/>
    <w:rsid w:val="00004C4A"/>
    <w:rsid w:val="00004C91"/>
    <w:rsid w:val="000050C3"/>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07CBB"/>
    <w:rsid w:val="00010475"/>
    <w:rsid w:val="000104BB"/>
    <w:rsid w:val="000104F7"/>
    <w:rsid w:val="000105FC"/>
    <w:rsid w:val="0001060D"/>
    <w:rsid w:val="00010818"/>
    <w:rsid w:val="00010B8B"/>
    <w:rsid w:val="00010CDD"/>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6BCB"/>
    <w:rsid w:val="0001709F"/>
    <w:rsid w:val="00017272"/>
    <w:rsid w:val="0001789B"/>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168"/>
    <w:rsid w:val="000242BB"/>
    <w:rsid w:val="000243C7"/>
    <w:rsid w:val="00024477"/>
    <w:rsid w:val="00024496"/>
    <w:rsid w:val="000244B9"/>
    <w:rsid w:val="000244CA"/>
    <w:rsid w:val="0002489B"/>
    <w:rsid w:val="00024C3A"/>
    <w:rsid w:val="00024C89"/>
    <w:rsid w:val="00024E0F"/>
    <w:rsid w:val="0002523F"/>
    <w:rsid w:val="000254A2"/>
    <w:rsid w:val="0002565A"/>
    <w:rsid w:val="00025695"/>
    <w:rsid w:val="00025AF0"/>
    <w:rsid w:val="00025F82"/>
    <w:rsid w:val="00026022"/>
    <w:rsid w:val="000261B2"/>
    <w:rsid w:val="00026588"/>
    <w:rsid w:val="00026655"/>
    <w:rsid w:val="0002677B"/>
    <w:rsid w:val="000269FC"/>
    <w:rsid w:val="00026B95"/>
    <w:rsid w:val="00026C59"/>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61"/>
    <w:rsid w:val="000343FC"/>
    <w:rsid w:val="00034D44"/>
    <w:rsid w:val="00035191"/>
    <w:rsid w:val="000351CA"/>
    <w:rsid w:val="00035224"/>
    <w:rsid w:val="000353D5"/>
    <w:rsid w:val="0003549B"/>
    <w:rsid w:val="000359BA"/>
    <w:rsid w:val="00035A2C"/>
    <w:rsid w:val="00035F4A"/>
    <w:rsid w:val="000366B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37FEA"/>
    <w:rsid w:val="00040013"/>
    <w:rsid w:val="000401B2"/>
    <w:rsid w:val="000402D7"/>
    <w:rsid w:val="0004040F"/>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8FB"/>
    <w:rsid w:val="00042A5E"/>
    <w:rsid w:val="00042AC2"/>
    <w:rsid w:val="00042CD5"/>
    <w:rsid w:val="00042E28"/>
    <w:rsid w:val="00042ECE"/>
    <w:rsid w:val="0004303A"/>
    <w:rsid w:val="00043207"/>
    <w:rsid w:val="000432E3"/>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7CC"/>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AC"/>
    <w:rsid w:val="00067CD0"/>
    <w:rsid w:val="00067F5A"/>
    <w:rsid w:val="00067F5C"/>
    <w:rsid w:val="000701BA"/>
    <w:rsid w:val="000701CF"/>
    <w:rsid w:val="00070445"/>
    <w:rsid w:val="0007047F"/>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9CA"/>
    <w:rsid w:val="00075AEE"/>
    <w:rsid w:val="00075AF7"/>
    <w:rsid w:val="00075B3A"/>
    <w:rsid w:val="00075B85"/>
    <w:rsid w:val="00075C16"/>
    <w:rsid w:val="00075C3E"/>
    <w:rsid w:val="00075F4B"/>
    <w:rsid w:val="00076153"/>
    <w:rsid w:val="0007623B"/>
    <w:rsid w:val="000762F9"/>
    <w:rsid w:val="0007696E"/>
    <w:rsid w:val="00076AA5"/>
    <w:rsid w:val="00077057"/>
    <w:rsid w:val="0007737B"/>
    <w:rsid w:val="0007740B"/>
    <w:rsid w:val="000774C1"/>
    <w:rsid w:val="0007774C"/>
    <w:rsid w:val="0007787F"/>
    <w:rsid w:val="00077C03"/>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8EF"/>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BEE"/>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174"/>
    <w:rsid w:val="00091243"/>
    <w:rsid w:val="00091473"/>
    <w:rsid w:val="0009150C"/>
    <w:rsid w:val="00091643"/>
    <w:rsid w:val="000916EF"/>
    <w:rsid w:val="00091B56"/>
    <w:rsid w:val="00091B58"/>
    <w:rsid w:val="00091CE9"/>
    <w:rsid w:val="00092167"/>
    <w:rsid w:val="000924E7"/>
    <w:rsid w:val="00092581"/>
    <w:rsid w:val="00092994"/>
    <w:rsid w:val="00092A12"/>
    <w:rsid w:val="00092D8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5F6"/>
    <w:rsid w:val="00094702"/>
    <w:rsid w:val="00094955"/>
    <w:rsid w:val="00094F66"/>
    <w:rsid w:val="00095273"/>
    <w:rsid w:val="0009534B"/>
    <w:rsid w:val="00095487"/>
    <w:rsid w:val="000955EE"/>
    <w:rsid w:val="000961BF"/>
    <w:rsid w:val="000961DD"/>
    <w:rsid w:val="0009661E"/>
    <w:rsid w:val="000969E4"/>
    <w:rsid w:val="00096D83"/>
    <w:rsid w:val="00096EAA"/>
    <w:rsid w:val="00096F56"/>
    <w:rsid w:val="00097059"/>
    <w:rsid w:val="00097067"/>
    <w:rsid w:val="00097071"/>
    <w:rsid w:val="00097072"/>
    <w:rsid w:val="00097A1D"/>
    <w:rsid w:val="00097B65"/>
    <w:rsid w:val="00097E1C"/>
    <w:rsid w:val="000A00B5"/>
    <w:rsid w:val="000A0121"/>
    <w:rsid w:val="000A0279"/>
    <w:rsid w:val="000A04ED"/>
    <w:rsid w:val="000A0622"/>
    <w:rsid w:val="000A09FA"/>
    <w:rsid w:val="000A0B53"/>
    <w:rsid w:val="000A0D35"/>
    <w:rsid w:val="000A0F1F"/>
    <w:rsid w:val="000A0F8D"/>
    <w:rsid w:val="000A129C"/>
    <w:rsid w:val="000A14DE"/>
    <w:rsid w:val="000A1551"/>
    <w:rsid w:val="000A1619"/>
    <w:rsid w:val="000A17FC"/>
    <w:rsid w:val="000A18AD"/>
    <w:rsid w:val="000A1906"/>
    <w:rsid w:val="000A19AB"/>
    <w:rsid w:val="000A1D1E"/>
    <w:rsid w:val="000A1D48"/>
    <w:rsid w:val="000A22ED"/>
    <w:rsid w:val="000A23D8"/>
    <w:rsid w:val="000A2499"/>
    <w:rsid w:val="000A24F6"/>
    <w:rsid w:val="000A2A87"/>
    <w:rsid w:val="000A2AFD"/>
    <w:rsid w:val="000A2C04"/>
    <w:rsid w:val="000A3204"/>
    <w:rsid w:val="000A3285"/>
    <w:rsid w:val="000A32A0"/>
    <w:rsid w:val="000A3B96"/>
    <w:rsid w:val="000A3F7F"/>
    <w:rsid w:val="000A4165"/>
    <w:rsid w:val="000A4466"/>
    <w:rsid w:val="000A448B"/>
    <w:rsid w:val="000A454C"/>
    <w:rsid w:val="000A4AD9"/>
    <w:rsid w:val="000A4F00"/>
    <w:rsid w:val="000A4F0B"/>
    <w:rsid w:val="000A4FE3"/>
    <w:rsid w:val="000A5024"/>
    <w:rsid w:val="000A5285"/>
    <w:rsid w:val="000A52CA"/>
    <w:rsid w:val="000A5747"/>
    <w:rsid w:val="000A57F3"/>
    <w:rsid w:val="000A59FD"/>
    <w:rsid w:val="000A5A04"/>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65F"/>
    <w:rsid w:val="000B2A46"/>
    <w:rsid w:val="000B2E28"/>
    <w:rsid w:val="000B2EFD"/>
    <w:rsid w:val="000B2F1B"/>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496"/>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4F62"/>
    <w:rsid w:val="000C50C0"/>
    <w:rsid w:val="000C5343"/>
    <w:rsid w:val="000C53A1"/>
    <w:rsid w:val="000C556D"/>
    <w:rsid w:val="000C58E3"/>
    <w:rsid w:val="000C5AFE"/>
    <w:rsid w:val="000C5B0A"/>
    <w:rsid w:val="000C5BD2"/>
    <w:rsid w:val="000C6180"/>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29B8"/>
    <w:rsid w:val="000D368E"/>
    <w:rsid w:val="000D37BF"/>
    <w:rsid w:val="000D3BE5"/>
    <w:rsid w:val="000D3F2D"/>
    <w:rsid w:val="000D3FD9"/>
    <w:rsid w:val="000D40CE"/>
    <w:rsid w:val="000D446A"/>
    <w:rsid w:val="000D4481"/>
    <w:rsid w:val="000D4492"/>
    <w:rsid w:val="000D463D"/>
    <w:rsid w:val="000D4979"/>
    <w:rsid w:val="000D4ECB"/>
    <w:rsid w:val="000D4F5B"/>
    <w:rsid w:val="000D5134"/>
    <w:rsid w:val="000D5832"/>
    <w:rsid w:val="000D592D"/>
    <w:rsid w:val="000D5942"/>
    <w:rsid w:val="000D5A96"/>
    <w:rsid w:val="000D5EAA"/>
    <w:rsid w:val="000D5FB2"/>
    <w:rsid w:val="000D634B"/>
    <w:rsid w:val="000D6569"/>
    <w:rsid w:val="000D6585"/>
    <w:rsid w:val="000D658D"/>
    <w:rsid w:val="000D679A"/>
    <w:rsid w:val="000D6849"/>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225"/>
    <w:rsid w:val="000E443F"/>
    <w:rsid w:val="000E4662"/>
    <w:rsid w:val="000E46D5"/>
    <w:rsid w:val="000E4935"/>
    <w:rsid w:val="000E49A4"/>
    <w:rsid w:val="000E4B60"/>
    <w:rsid w:val="000E4C01"/>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5C4"/>
    <w:rsid w:val="000E77FC"/>
    <w:rsid w:val="000E7B5C"/>
    <w:rsid w:val="000E7BF3"/>
    <w:rsid w:val="000E7C6C"/>
    <w:rsid w:val="000E7D95"/>
    <w:rsid w:val="000F0169"/>
    <w:rsid w:val="000F0570"/>
    <w:rsid w:val="000F069D"/>
    <w:rsid w:val="000F0705"/>
    <w:rsid w:val="000F09A8"/>
    <w:rsid w:val="000F09FB"/>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2F1D"/>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21F"/>
    <w:rsid w:val="000F6F4A"/>
    <w:rsid w:val="000F6F63"/>
    <w:rsid w:val="000F7055"/>
    <w:rsid w:val="000F7328"/>
    <w:rsid w:val="000F744C"/>
    <w:rsid w:val="000F7565"/>
    <w:rsid w:val="000F7878"/>
    <w:rsid w:val="000F7A8A"/>
    <w:rsid w:val="000F7C8E"/>
    <w:rsid w:val="00100143"/>
    <w:rsid w:val="001001E7"/>
    <w:rsid w:val="00100214"/>
    <w:rsid w:val="0010027C"/>
    <w:rsid w:val="0010036E"/>
    <w:rsid w:val="0010046C"/>
    <w:rsid w:val="001004B2"/>
    <w:rsid w:val="001005FF"/>
    <w:rsid w:val="0010068C"/>
    <w:rsid w:val="00100893"/>
    <w:rsid w:val="00100B26"/>
    <w:rsid w:val="00101018"/>
    <w:rsid w:val="00101041"/>
    <w:rsid w:val="001010E1"/>
    <w:rsid w:val="001010EF"/>
    <w:rsid w:val="001012F4"/>
    <w:rsid w:val="001013D8"/>
    <w:rsid w:val="001016D4"/>
    <w:rsid w:val="00101706"/>
    <w:rsid w:val="00101C8E"/>
    <w:rsid w:val="00101E71"/>
    <w:rsid w:val="00101E79"/>
    <w:rsid w:val="0010229B"/>
    <w:rsid w:val="00102D0F"/>
    <w:rsid w:val="00102D2B"/>
    <w:rsid w:val="00102F2D"/>
    <w:rsid w:val="001030EF"/>
    <w:rsid w:val="00103771"/>
    <w:rsid w:val="00104096"/>
    <w:rsid w:val="00104548"/>
    <w:rsid w:val="001045C1"/>
    <w:rsid w:val="00104607"/>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A2C"/>
    <w:rsid w:val="00106037"/>
    <w:rsid w:val="00106375"/>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C2C"/>
    <w:rsid w:val="00113E60"/>
    <w:rsid w:val="00114336"/>
    <w:rsid w:val="00114389"/>
    <w:rsid w:val="00114523"/>
    <w:rsid w:val="0011494B"/>
    <w:rsid w:val="001149D6"/>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2"/>
    <w:rsid w:val="00121798"/>
    <w:rsid w:val="001218EA"/>
    <w:rsid w:val="00122013"/>
    <w:rsid w:val="0012220D"/>
    <w:rsid w:val="0012253A"/>
    <w:rsid w:val="001225B6"/>
    <w:rsid w:val="001227F7"/>
    <w:rsid w:val="00122925"/>
    <w:rsid w:val="00122C7C"/>
    <w:rsid w:val="00123159"/>
    <w:rsid w:val="00123170"/>
    <w:rsid w:val="00123185"/>
    <w:rsid w:val="0012325D"/>
    <w:rsid w:val="001235B8"/>
    <w:rsid w:val="001235DA"/>
    <w:rsid w:val="00123619"/>
    <w:rsid w:val="00123975"/>
    <w:rsid w:val="001239B6"/>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8E2"/>
    <w:rsid w:val="00125DC2"/>
    <w:rsid w:val="00125E2A"/>
    <w:rsid w:val="0012647A"/>
    <w:rsid w:val="001266BA"/>
    <w:rsid w:val="00126C68"/>
    <w:rsid w:val="00126D52"/>
    <w:rsid w:val="00126F05"/>
    <w:rsid w:val="0012733B"/>
    <w:rsid w:val="00127521"/>
    <w:rsid w:val="0012753A"/>
    <w:rsid w:val="001275FF"/>
    <w:rsid w:val="00127654"/>
    <w:rsid w:val="0012784C"/>
    <w:rsid w:val="00127906"/>
    <w:rsid w:val="00127AB8"/>
    <w:rsid w:val="00127BCF"/>
    <w:rsid w:val="00127BEB"/>
    <w:rsid w:val="00127E85"/>
    <w:rsid w:val="0013051A"/>
    <w:rsid w:val="0013089E"/>
    <w:rsid w:val="001308BC"/>
    <w:rsid w:val="00130A41"/>
    <w:rsid w:val="00130AA2"/>
    <w:rsid w:val="00130B9D"/>
    <w:rsid w:val="00130C95"/>
    <w:rsid w:val="00130E18"/>
    <w:rsid w:val="00131803"/>
    <w:rsid w:val="00131A50"/>
    <w:rsid w:val="00131BDB"/>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930"/>
    <w:rsid w:val="00135A0D"/>
    <w:rsid w:val="00135B3A"/>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A7"/>
    <w:rsid w:val="00141F2D"/>
    <w:rsid w:val="00142220"/>
    <w:rsid w:val="001422CC"/>
    <w:rsid w:val="001425FE"/>
    <w:rsid w:val="0014263B"/>
    <w:rsid w:val="0014269E"/>
    <w:rsid w:val="001427DF"/>
    <w:rsid w:val="001428E8"/>
    <w:rsid w:val="00142C0D"/>
    <w:rsid w:val="00142E50"/>
    <w:rsid w:val="00142E5B"/>
    <w:rsid w:val="00143003"/>
    <w:rsid w:val="00143234"/>
    <w:rsid w:val="001433E4"/>
    <w:rsid w:val="0014396C"/>
    <w:rsid w:val="00143B11"/>
    <w:rsid w:val="00143CB7"/>
    <w:rsid w:val="00143D78"/>
    <w:rsid w:val="00143EDB"/>
    <w:rsid w:val="00144384"/>
    <w:rsid w:val="00144606"/>
    <w:rsid w:val="00144662"/>
    <w:rsid w:val="00144F9E"/>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6B2"/>
    <w:rsid w:val="00150842"/>
    <w:rsid w:val="00150ADE"/>
    <w:rsid w:val="00150ED9"/>
    <w:rsid w:val="00150F77"/>
    <w:rsid w:val="00150FC7"/>
    <w:rsid w:val="0015161E"/>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9A0"/>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2BC"/>
    <w:rsid w:val="00164314"/>
    <w:rsid w:val="00164373"/>
    <w:rsid w:val="001646E4"/>
    <w:rsid w:val="00164BDB"/>
    <w:rsid w:val="0016507B"/>
    <w:rsid w:val="001650FE"/>
    <w:rsid w:val="001651BA"/>
    <w:rsid w:val="001651DB"/>
    <w:rsid w:val="00165200"/>
    <w:rsid w:val="00165224"/>
    <w:rsid w:val="00165292"/>
    <w:rsid w:val="0016537D"/>
    <w:rsid w:val="0016551B"/>
    <w:rsid w:val="001656DA"/>
    <w:rsid w:val="00165854"/>
    <w:rsid w:val="00165B03"/>
    <w:rsid w:val="00165C5C"/>
    <w:rsid w:val="00165CCB"/>
    <w:rsid w:val="00165F58"/>
    <w:rsid w:val="00165FCF"/>
    <w:rsid w:val="001663E1"/>
    <w:rsid w:val="001665A0"/>
    <w:rsid w:val="00166659"/>
    <w:rsid w:val="001669E5"/>
    <w:rsid w:val="00166C90"/>
    <w:rsid w:val="00166E49"/>
    <w:rsid w:val="00166EFA"/>
    <w:rsid w:val="00166FC6"/>
    <w:rsid w:val="0016798D"/>
    <w:rsid w:val="001679D5"/>
    <w:rsid w:val="00167DC6"/>
    <w:rsid w:val="00167DD8"/>
    <w:rsid w:val="00167EBA"/>
    <w:rsid w:val="0017009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9"/>
    <w:rsid w:val="00172715"/>
    <w:rsid w:val="00172814"/>
    <w:rsid w:val="00172A27"/>
    <w:rsid w:val="00172ACA"/>
    <w:rsid w:val="00172AFD"/>
    <w:rsid w:val="00172C9C"/>
    <w:rsid w:val="00172D65"/>
    <w:rsid w:val="00173095"/>
    <w:rsid w:val="00173748"/>
    <w:rsid w:val="00173779"/>
    <w:rsid w:val="0017388B"/>
    <w:rsid w:val="00173C41"/>
    <w:rsid w:val="00173C47"/>
    <w:rsid w:val="00173C9C"/>
    <w:rsid w:val="00174157"/>
    <w:rsid w:val="00174237"/>
    <w:rsid w:val="001745B7"/>
    <w:rsid w:val="00174758"/>
    <w:rsid w:val="001747C9"/>
    <w:rsid w:val="00174804"/>
    <w:rsid w:val="00174DED"/>
    <w:rsid w:val="0017527A"/>
    <w:rsid w:val="001752E2"/>
    <w:rsid w:val="0017554E"/>
    <w:rsid w:val="0017581C"/>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77F53"/>
    <w:rsid w:val="0018037B"/>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2C21"/>
    <w:rsid w:val="00183098"/>
    <w:rsid w:val="00183351"/>
    <w:rsid w:val="00183458"/>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AE4"/>
    <w:rsid w:val="00187C2F"/>
    <w:rsid w:val="00187EE3"/>
    <w:rsid w:val="00190172"/>
    <w:rsid w:val="001906AF"/>
    <w:rsid w:val="001907DA"/>
    <w:rsid w:val="00190911"/>
    <w:rsid w:val="00190A07"/>
    <w:rsid w:val="00190B4B"/>
    <w:rsid w:val="00190BEC"/>
    <w:rsid w:val="00190D4F"/>
    <w:rsid w:val="00190D97"/>
    <w:rsid w:val="0019104C"/>
    <w:rsid w:val="00191124"/>
    <w:rsid w:val="001911DE"/>
    <w:rsid w:val="001912A2"/>
    <w:rsid w:val="001916EB"/>
    <w:rsid w:val="0019175F"/>
    <w:rsid w:val="00191795"/>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685"/>
    <w:rsid w:val="001A1769"/>
    <w:rsid w:val="001A17B1"/>
    <w:rsid w:val="001A184B"/>
    <w:rsid w:val="001A18F3"/>
    <w:rsid w:val="001A19AE"/>
    <w:rsid w:val="001A1A0D"/>
    <w:rsid w:val="001A22A6"/>
    <w:rsid w:val="001A2C97"/>
    <w:rsid w:val="001A2FBE"/>
    <w:rsid w:val="001A2FCA"/>
    <w:rsid w:val="001A3150"/>
    <w:rsid w:val="001A3235"/>
    <w:rsid w:val="001A3928"/>
    <w:rsid w:val="001A4254"/>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4EF"/>
    <w:rsid w:val="001B553D"/>
    <w:rsid w:val="001B5ADA"/>
    <w:rsid w:val="001B5B43"/>
    <w:rsid w:val="001B5D47"/>
    <w:rsid w:val="001B5E9A"/>
    <w:rsid w:val="001B5EE9"/>
    <w:rsid w:val="001B5F20"/>
    <w:rsid w:val="001B6331"/>
    <w:rsid w:val="001B67D7"/>
    <w:rsid w:val="001B67FC"/>
    <w:rsid w:val="001B6F5C"/>
    <w:rsid w:val="001B6FA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B29"/>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327"/>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859"/>
    <w:rsid w:val="001E3BCD"/>
    <w:rsid w:val="001E3C4C"/>
    <w:rsid w:val="001E476E"/>
    <w:rsid w:val="001E49DD"/>
    <w:rsid w:val="001E4DA6"/>
    <w:rsid w:val="001E514F"/>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F1"/>
    <w:rsid w:val="001F1AE0"/>
    <w:rsid w:val="001F21A7"/>
    <w:rsid w:val="001F21F0"/>
    <w:rsid w:val="001F251F"/>
    <w:rsid w:val="001F2630"/>
    <w:rsid w:val="001F2671"/>
    <w:rsid w:val="001F28BB"/>
    <w:rsid w:val="001F2AD7"/>
    <w:rsid w:val="001F2E19"/>
    <w:rsid w:val="001F2F8C"/>
    <w:rsid w:val="001F31EA"/>
    <w:rsid w:val="001F39B5"/>
    <w:rsid w:val="001F3A83"/>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22F"/>
    <w:rsid w:val="002053FA"/>
    <w:rsid w:val="00205C1A"/>
    <w:rsid w:val="00205FF6"/>
    <w:rsid w:val="0020611C"/>
    <w:rsid w:val="0020649B"/>
    <w:rsid w:val="00206839"/>
    <w:rsid w:val="00206DA5"/>
    <w:rsid w:val="002073F9"/>
    <w:rsid w:val="002074FE"/>
    <w:rsid w:val="00207603"/>
    <w:rsid w:val="00207855"/>
    <w:rsid w:val="00207908"/>
    <w:rsid w:val="00207F1E"/>
    <w:rsid w:val="00210284"/>
    <w:rsid w:val="0021029A"/>
    <w:rsid w:val="002104D8"/>
    <w:rsid w:val="00210532"/>
    <w:rsid w:val="00210567"/>
    <w:rsid w:val="002105C6"/>
    <w:rsid w:val="00210B63"/>
    <w:rsid w:val="00210DEC"/>
    <w:rsid w:val="00210E8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095"/>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BA"/>
    <w:rsid w:val="00226CE8"/>
    <w:rsid w:val="002277B9"/>
    <w:rsid w:val="00230482"/>
    <w:rsid w:val="00230648"/>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A1"/>
    <w:rsid w:val="002367EF"/>
    <w:rsid w:val="002368D4"/>
    <w:rsid w:val="002369B2"/>
    <w:rsid w:val="00236B1E"/>
    <w:rsid w:val="00236B41"/>
    <w:rsid w:val="00236C4B"/>
    <w:rsid w:val="00236CB0"/>
    <w:rsid w:val="00236F5E"/>
    <w:rsid w:val="00237040"/>
    <w:rsid w:val="002372A8"/>
    <w:rsid w:val="0023742F"/>
    <w:rsid w:val="002374CE"/>
    <w:rsid w:val="00237604"/>
    <w:rsid w:val="0023778E"/>
    <w:rsid w:val="0023784C"/>
    <w:rsid w:val="00237940"/>
    <w:rsid w:val="002402C0"/>
    <w:rsid w:val="00240405"/>
    <w:rsid w:val="0024056D"/>
    <w:rsid w:val="00240773"/>
    <w:rsid w:val="00240A90"/>
    <w:rsid w:val="00240C3D"/>
    <w:rsid w:val="002410D7"/>
    <w:rsid w:val="002410E9"/>
    <w:rsid w:val="0024169D"/>
    <w:rsid w:val="00241999"/>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8ED"/>
    <w:rsid w:val="00244B14"/>
    <w:rsid w:val="00244C08"/>
    <w:rsid w:val="00244C60"/>
    <w:rsid w:val="0024519A"/>
    <w:rsid w:val="00245455"/>
    <w:rsid w:val="002454B6"/>
    <w:rsid w:val="002454D5"/>
    <w:rsid w:val="002455DF"/>
    <w:rsid w:val="00245AA9"/>
    <w:rsid w:val="00245C98"/>
    <w:rsid w:val="00245E3E"/>
    <w:rsid w:val="00245E9F"/>
    <w:rsid w:val="00246302"/>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E21"/>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21"/>
    <w:rsid w:val="00253587"/>
    <w:rsid w:val="002537F5"/>
    <w:rsid w:val="0025380B"/>
    <w:rsid w:val="0025387B"/>
    <w:rsid w:val="0025390F"/>
    <w:rsid w:val="00253AC0"/>
    <w:rsid w:val="00253C61"/>
    <w:rsid w:val="00253F58"/>
    <w:rsid w:val="00254569"/>
    <w:rsid w:val="002548F0"/>
    <w:rsid w:val="0025491D"/>
    <w:rsid w:val="00254D5F"/>
    <w:rsid w:val="00254E3E"/>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9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1E"/>
    <w:rsid w:val="00262973"/>
    <w:rsid w:val="00262A86"/>
    <w:rsid w:val="00262ED0"/>
    <w:rsid w:val="00263001"/>
    <w:rsid w:val="0026308B"/>
    <w:rsid w:val="00263234"/>
    <w:rsid w:val="00263355"/>
    <w:rsid w:val="002634C3"/>
    <w:rsid w:val="00263D44"/>
    <w:rsid w:val="00263DBA"/>
    <w:rsid w:val="00263FD7"/>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B6C"/>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73"/>
    <w:rsid w:val="002800E4"/>
    <w:rsid w:val="002809E4"/>
    <w:rsid w:val="00280D6F"/>
    <w:rsid w:val="00281283"/>
    <w:rsid w:val="002812B5"/>
    <w:rsid w:val="0028141E"/>
    <w:rsid w:val="002814DA"/>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4F48"/>
    <w:rsid w:val="002851A4"/>
    <w:rsid w:val="00285AEF"/>
    <w:rsid w:val="00285C28"/>
    <w:rsid w:val="00285FF4"/>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2E3"/>
    <w:rsid w:val="0029056E"/>
    <w:rsid w:val="00290B90"/>
    <w:rsid w:val="00290D5E"/>
    <w:rsid w:val="00290F82"/>
    <w:rsid w:val="0029112B"/>
    <w:rsid w:val="002912DA"/>
    <w:rsid w:val="002913B1"/>
    <w:rsid w:val="002916DC"/>
    <w:rsid w:val="00291848"/>
    <w:rsid w:val="00292016"/>
    <w:rsid w:val="00292038"/>
    <w:rsid w:val="00292685"/>
    <w:rsid w:val="002926A8"/>
    <w:rsid w:val="00292841"/>
    <w:rsid w:val="00292BEE"/>
    <w:rsid w:val="00292C6F"/>
    <w:rsid w:val="00292CFA"/>
    <w:rsid w:val="00292D55"/>
    <w:rsid w:val="00292E06"/>
    <w:rsid w:val="00292F51"/>
    <w:rsid w:val="00292F8D"/>
    <w:rsid w:val="002930C3"/>
    <w:rsid w:val="00293165"/>
    <w:rsid w:val="00293747"/>
    <w:rsid w:val="002937F4"/>
    <w:rsid w:val="00293853"/>
    <w:rsid w:val="00293B6B"/>
    <w:rsid w:val="00293C1A"/>
    <w:rsid w:val="00293F36"/>
    <w:rsid w:val="00294325"/>
    <w:rsid w:val="00294347"/>
    <w:rsid w:val="002944B3"/>
    <w:rsid w:val="00294695"/>
    <w:rsid w:val="0029483A"/>
    <w:rsid w:val="00294A21"/>
    <w:rsid w:val="00294C56"/>
    <w:rsid w:val="00294DE8"/>
    <w:rsid w:val="00295017"/>
    <w:rsid w:val="002953EF"/>
    <w:rsid w:val="00295560"/>
    <w:rsid w:val="002956E1"/>
    <w:rsid w:val="002957A7"/>
    <w:rsid w:val="00295D88"/>
    <w:rsid w:val="00295E20"/>
    <w:rsid w:val="00295F0E"/>
    <w:rsid w:val="00296095"/>
    <w:rsid w:val="0029623A"/>
    <w:rsid w:val="002963F2"/>
    <w:rsid w:val="0029651B"/>
    <w:rsid w:val="002965EA"/>
    <w:rsid w:val="002965F8"/>
    <w:rsid w:val="002967F3"/>
    <w:rsid w:val="00296CD1"/>
    <w:rsid w:val="00296F66"/>
    <w:rsid w:val="00296FFE"/>
    <w:rsid w:val="00297100"/>
    <w:rsid w:val="0029725E"/>
    <w:rsid w:val="00297312"/>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8CA"/>
    <w:rsid w:val="002A198F"/>
    <w:rsid w:val="002A1E1D"/>
    <w:rsid w:val="002A1FD7"/>
    <w:rsid w:val="002A2009"/>
    <w:rsid w:val="002A2034"/>
    <w:rsid w:val="002A2251"/>
    <w:rsid w:val="002A227E"/>
    <w:rsid w:val="002A261B"/>
    <w:rsid w:val="002A2E59"/>
    <w:rsid w:val="002A2FAC"/>
    <w:rsid w:val="002A2FDA"/>
    <w:rsid w:val="002A300C"/>
    <w:rsid w:val="002A3042"/>
    <w:rsid w:val="002A310B"/>
    <w:rsid w:val="002A3207"/>
    <w:rsid w:val="002A33AB"/>
    <w:rsid w:val="002A34AD"/>
    <w:rsid w:val="002A3625"/>
    <w:rsid w:val="002A3A4B"/>
    <w:rsid w:val="002A3D57"/>
    <w:rsid w:val="002A3D8A"/>
    <w:rsid w:val="002A3FF3"/>
    <w:rsid w:val="002A45A2"/>
    <w:rsid w:val="002A4737"/>
    <w:rsid w:val="002A479C"/>
    <w:rsid w:val="002A4CEA"/>
    <w:rsid w:val="002A4FAE"/>
    <w:rsid w:val="002A5293"/>
    <w:rsid w:val="002A52DB"/>
    <w:rsid w:val="002A53E0"/>
    <w:rsid w:val="002A5569"/>
    <w:rsid w:val="002A55CA"/>
    <w:rsid w:val="002A5720"/>
    <w:rsid w:val="002A5752"/>
    <w:rsid w:val="002A576B"/>
    <w:rsid w:val="002A5A9F"/>
    <w:rsid w:val="002A5AA9"/>
    <w:rsid w:val="002A5AC5"/>
    <w:rsid w:val="002A5B7F"/>
    <w:rsid w:val="002A5E8E"/>
    <w:rsid w:val="002A5E9E"/>
    <w:rsid w:val="002A67E3"/>
    <w:rsid w:val="002A69D7"/>
    <w:rsid w:val="002A6F4F"/>
    <w:rsid w:val="002A6FAE"/>
    <w:rsid w:val="002A7B13"/>
    <w:rsid w:val="002A7C12"/>
    <w:rsid w:val="002A7D65"/>
    <w:rsid w:val="002A7E40"/>
    <w:rsid w:val="002A7EE6"/>
    <w:rsid w:val="002A7EEE"/>
    <w:rsid w:val="002B05C8"/>
    <w:rsid w:val="002B0A36"/>
    <w:rsid w:val="002B0A94"/>
    <w:rsid w:val="002B0BF5"/>
    <w:rsid w:val="002B0D71"/>
    <w:rsid w:val="002B1231"/>
    <w:rsid w:val="002B13D9"/>
    <w:rsid w:val="002B1461"/>
    <w:rsid w:val="002B147C"/>
    <w:rsid w:val="002B14A4"/>
    <w:rsid w:val="002B1A0C"/>
    <w:rsid w:val="002B1A21"/>
    <w:rsid w:val="002B1C15"/>
    <w:rsid w:val="002B1CDA"/>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2DC"/>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0F33"/>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2C"/>
    <w:rsid w:val="002C6870"/>
    <w:rsid w:val="002C6A72"/>
    <w:rsid w:val="002C6B21"/>
    <w:rsid w:val="002C6B23"/>
    <w:rsid w:val="002C6CDA"/>
    <w:rsid w:val="002C6D3B"/>
    <w:rsid w:val="002C6D68"/>
    <w:rsid w:val="002C75D0"/>
    <w:rsid w:val="002C7ACC"/>
    <w:rsid w:val="002C7C78"/>
    <w:rsid w:val="002C7E3B"/>
    <w:rsid w:val="002C7F66"/>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7F9"/>
    <w:rsid w:val="002D3A2F"/>
    <w:rsid w:val="002D3A57"/>
    <w:rsid w:val="002D3D8E"/>
    <w:rsid w:val="002D3EC7"/>
    <w:rsid w:val="002D402A"/>
    <w:rsid w:val="002D4142"/>
    <w:rsid w:val="002D4329"/>
    <w:rsid w:val="002D43D9"/>
    <w:rsid w:val="002D47EF"/>
    <w:rsid w:val="002D486D"/>
    <w:rsid w:val="002D48FF"/>
    <w:rsid w:val="002D4B7C"/>
    <w:rsid w:val="002D51E1"/>
    <w:rsid w:val="002D5CD8"/>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6AD"/>
    <w:rsid w:val="002E08A4"/>
    <w:rsid w:val="002E0918"/>
    <w:rsid w:val="002E0AC9"/>
    <w:rsid w:val="002E0D1B"/>
    <w:rsid w:val="002E0E79"/>
    <w:rsid w:val="002E0FC1"/>
    <w:rsid w:val="002E1190"/>
    <w:rsid w:val="002E13F7"/>
    <w:rsid w:val="002E15B7"/>
    <w:rsid w:val="002E16BB"/>
    <w:rsid w:val="002E1B25"/>
    <w:rsid w:val="002E1B6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C13"/>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08C"/>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438"/>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4A"/>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0E51"/>
    <w:rsid w:val="00301010"/>
    <w:rsid w:val="003011C3"/>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6B4"/>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197"/>
    <w:rsid w:val="00306202"/>
    <w:rsid w:val="003065CF"/>
    <w:rsid w:val="0030679A"/>
    <w:rsid w:val="003067F6"/>
    <w:rsid w:val="003068D5"/>
    <w:rsid w:val="00306939"/>
    <w:rsid w:val="00306BCB"/>
    <w:rsid w:val="00306CB7"/>
    <w:rsid w:val="00306E51"/>
    <w:rsid w:val="00306F12"/>
    <w:rsid w:val="00307073"/>
    <w:rsid w:val="00307191"/>
    <w:rsid w:val="003071B0"/>
    <w:rsid w:val="0030729A"/>
    <w:rsid w:val="00307428"/>
    <w:rsid w:val="003075DD"/>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A66"/>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78C"/>
    <w:rsid w:val="0031487E"/>
    <w:rsid w:val="003149E6"/>
    <w:rsid w:val="00314BDC"/>
    <w:rsid w:val="00314CE5"/>
    <w:rsid w:val="00314DA1"/>
    <w:rsid w:val="00314EA1"/>
    <w:rsid w:val="003150A4"/>
    <w:rsid w:val="0031522C"/>
    <w:rsid w:val="00315280"/>
    <w:rsid w:val="0031593F"/>
    <w:rsid w:val="00315988"/>
    <w:rsid w:val="003159CE"/>
    <w:rsid w:val="00315A74"/>
    <w:rsid w:val="00315ABE"/>
    <w:rsid w:val="00315CAB"/>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5DD"/>
    <w:rsid w:val="0032074D"/>
    <w:rsid w:val="00320D68"/>
    <w:rsid w:val="00321492"/>
    <w:rsid w:val="00321525"/>
    <w:rsid w:val="003215D3"/>
    <w:rsid w:val="00321A41"/>
    <w:rsid w:val="00321B1F"/>
    <w:rsid w:val="00321EAF"/>
    <w:rsid w:val="00321FD4"/>
    <w:rsid w:val="003220E6"/>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878"/>
    <w:rsid w:val="00334BBD"/>
    <w:rsid w:val="00334BC5"/>
    <w:rsid w:val="00334EEB"/>
    <w:rsid w:val="00334F06"/>
    <w:rsid w:val="003352B0"/>
    <w:rsid w:val="003353A8"/>
    <w:rsid w:val="00335426"/>
    <w:rsid w:val="00335460"/>
    <w:rsid w:val="003356AF"/>
    <w:rsid w:val="003359CC"/>
    <w:rsid w:val="00335B82"/>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C45"/>
    <w:rsid w:val="00343E05"/>
    <w:rsid w:val="00343E90"/>
    <w:rsid w:val="00344069"/>
    <w:rsid w:val="00344294"/>
    <w:rsid w:val="003443E7"/>
    <w:rsid w:val="00344468"/>
    <w:rsid w:val="00344655"/>
    <w:rsid w:val="00344674"/>
    <w:rsid w:val="00344A74"/>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8EE"/>
    <w:rsid w:val="00347945"/>
    <w:rsid w:val="00347951"/>
    <w:rsid w:val="00347C25"/>
    <w:rsid w:val="00347C34"/>
    <w:rsid w:val="00347CD5"/>
    <w:rsid w:val="00347D28"/>
    <w:rsid w:val="00347DAA"/>
    <w:rsid w:val="00350F55"/>
    <w:rsid w:val="00351100"/>
    <w:rsid w:val="003512C2"/>
    <w:rsid w:val="00351319"/>
    <w:rsid w:val="00351390"/>
    <w:rsid w:val="0035174E"/>
    <w:rsid w:val="0035175B"/>
    <w:rsid w:val="00351A4A"/>
    <w:rsid w:val="00351BE3"/>
    <w:rsid w:val="00351DB9"/>
    <w:rsid w:val="00351F11"/>
    <w:rsid w:val="00352474"/>
    <w:rsid w:val="003525D3"/>
    <w:rsid w:val="00352A3F"/>
    <w:rsid w:val="00352F1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4B9"/>
    <w:rsid w:val="00356949"/>
    <w:rsid w:val="003569F8"/>
    <w:rsid w:val="00356B1A"/>
    <w:rsid w:val="00356B9C"/>
    <w:rsid w:val="00356BA5"/>
    <w:rsid w:val="00356D67"/>
    <w:rsid w:val="00356E2E"/>
    <w:rsid w:val="00356FE7"/>
    <w:rsid w:val="00357049"/>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221"/>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0FEE"/>
    <w:rsid w:val="0037100B"/>
    <w:rsid w:val="003710C0"/>
    <w:rsid w:val="00371857"/>
    <w:rsid w:val="00371886"/>
    <w:rsid w:val="00371AC9"/>
    <w:rsid w:val="00371AD1"/>
    <w:rsid w:val="00371E13"/>
    <w:rsid w:val="00371E7B"/>
    <w:rsid w:val="00371F1A"/>
    <w:rsid w:val="0037216F"/>
    <w:rsid w:val="003721C3"/>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5DDE"/>
    <w:rsid w:val="00376264"/>
    <w:rsid w:val="003769CB"/>
    <w:rsid w:val="00376A10"/>
    <w:rsid w:val="00376D39"/>
    <w:rsid w:val="00376EB8"/>
    <w:rsid w:val="00376F5A"/>
    <w:rsid w:val="00377131"/>
    <w:rsid w:val="003771EE"/>
    <w:rsid w:val="003776D5"/>
    <w:rsid w:val="00377796"/>
    <w:rsid w:val="00377EC8"/>
    <w:rsid w:val="00377F90"/>
    <w:rsid w:val="00377F99"/>
    <w:rsid w:val="00380215"/>
    <w:rsid w:val="0038029D"/>
    <w:rsid w:val="00380856"/>
    <w:rsid w:val="00380939"/>
    <w:rsid w:val="00380B59"/>
    <w:rsid w:val="00380E6D"/>
    <w:rsid w:val="00381238"/>
    <w:rsid w:val="00381323"/>
    <w:rsid w:val="00381849"/>
    <w:rsid w:val="00381AC8"/>
    <w:rsid w:val="00381B10"/>
    <w:rsid w:val="00381C9E"/>
    <w:rsid w:val="00382208"/>
    <w:rsid w:val="00382284"/>
    <w:rsid w:val="003825BB"/>
    <w:rsid w:val="0038280E"/>
    <w:rsid w:val="003828F3"/>
    <w:rsid w:val="00382931"/>
    <w:rsid w:val="00382A2F"/>
    <w:rsid w:val="00382C26"/>
    <w:rsid w:val="00382FD4"/>
    <w:rsid w:val="00382FE5"/>
    <w:rsid w:val="00383339"/>
    <w:rsid w:val="00383CA9"/>
    <w:rsid w:val="00383DA7"/>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E1B"/>
    <w:rsid w:val="00386F57"/>
    <w:rsid w:val="00387147"/>
    <w:rsid w:val="00387224"/>
    <w:rsid w:val="003874D3"/>
    <w:rsid w:val="00387560"/>
    <w:rsid w:val="003875CF"/>
    <w:rsid w:val="003877FA"/>
    <w:rsid w:val="003878DD"/>
    <w:rsid w:val="00387A3F"/>
    <w:rsid w:val="00387B49"/>
    <w:rsid w:val="0039021E"/>
    <w:rsid w:val="00390363"/>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5C8"/>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B9D"/>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88F"/>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21A"/>
    <w:rsid w:val="003B1583"/>
    <w:rsid w:val="003B15B2"/>
    <w:rsid w:val="003B15EB"/>
    <w:rsid w:val="003B1F04"/>
    <w:rsid w:val="003B22A8"/>
    <w:rsid w:val="003B232F"/>
    <w:rsid w:val="003B24DD"/>
    <w:rsid w:val="003B273C"/>
    <w:rsid w:val="003B2852"/>
    <w:rsid w:val="003B29F3"/>
    <w:rsid w:val="003B2A50"/>
    <w:rsid w:val="003B2AE3"/>
    <w:rsid w:val="003B2FFB"/>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9E4"/>
    <w:rsid w:val="003B6D0A"/>
    <w:rsid w:val="003B6DD3"/>
    <w:rsid w:val="003B78D1"/>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5E2"/>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8C2"/>
    <w:rsid w:val="003D1F75"/>
    <w:rsid w:val="003D2158"/>
    <w:rsid w:val="003D21D5"/>
    <w:rsid w:val="003D2454"/>
    <w:rsid w:val="003D2477"/>
    <w:rsid w:val="003D28C6"/>
    <w:rsid w:val="003D2927"/>
    <w:rsid w:val="003D2C21"/>
    <w:rsid w:val="003D2E15"/>
    <w:rsid w:val="003D2F96"/>
    <w:rsid w:val="003D30F5"/>
    <w:rsid w:val="003D31CC"/>
    <w:rsid w:val="003D32EC"/>
    <w:rsid w:val="003D35B6"/>
    <w:rsid w:val="003D3650"/>
    <w:rsid w:val="003D36B9"/>
    <w:rsid w:val="003D38BC"/>
    <w:rsid w:val="003D39CD"/>
    <w:rsid w:val="003D3A1D"/>
    <w:rsid w:val="003D3DC6"/>
    <w:rsid w:val="003D3F81"/>
    <w:rsid w:val="003D4071"/>
    <w:rsid w:val="003D4564"/>
    <w:rsid w:val="003D4B4D"/>
    <w:rsid w:val="003D4CB6"/>
    <w:rsid w:val="003D5218"/>
    <w:rsid w:val="003D5241"/>
    <w:rsid w:val="003D5254"/>
    <w:rsid w:val="003D53D8"/>
    <w:rsid w:val="003D55E9"/>
    <w:rsid w:val="003D5935"/>
    <w:rsid w:val="003D5BA9"/>
    <w:rsid w:val="003D5E92"/>
    <w:rsid w:val="003D5FC7"/>
    <w:rsid w:val="003D60B3"/>
    <w:rsid w:val="003D6158"/>
    <w:rsid w:val="003D6295"/>
    <w:rsid w:val="003D6883"/>
    <w:rsid w:val="003D694D"/>
    <w:rsid w:val="003D6ACC"/>
    <w:rsid w:val="003D6CB1"/>
    <w:rsid w:val="003D6E73"/>
    <w:rsid w:val="003D7049"/>
    <w:rsid w:val="003D74CC"/>
    <w:rsid w:val="003D79D6"/>
    <w:rsid w:val="003D7B5B"/>
    <w:rsid w:val="003E0199"/>
    <w:rsid w:val="003E02EE"/>
    <w:rsid w:val="003E0358"/>
    <w:rsid w:val="003E0ADC"/>
    <w:rsid w:val="003E1297"/>
    <w:rsid w:val="003E13D9"/>
    <w:rsid w:val="003E165D"/>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24"/>
    <w:rsid w:val="003E38A2"/>
    <w:rsid w:val="003E3925"/>
    <w:rsid w:val="003E3C46"/>
    <w:rsid w:val="003E3E91"/>
    <w:rsid w:val="003E40D0"/>
    <w:rsid w:val="003E4352"/>
    <w:rsid w:val="003E4361"/>
    <w:rsid w:val="003E46F9"/>
    <w:rsid w:val="003E4752"/>
    <w:rsid w:val="003E47D7"/>
    <w:rsid w:val="003E47D8"/>
    <w:rsid w:val="003E48F6"/>
    <w:rsid w:val="003E4910"/>
    <w:rsid w:val="003E4AD5"/>
    <w:rsid w:val="003E5043"/>
    <w:rsid w:val="003E5090"/>
    <w:rsid w:val="003E5439"/>
    <w:rsid w:val="003E571C"/>
    <w:rsid w:val="003E58DD"/>
    <w:rsid w:val="003E5A28"/>
    <w:rsid w:val="003E5E4D"/>
    <w:rsid w:val="003E5F7E"/>
    <w:rsid w:val="003E65DD"/>
    <w:rsid w:val="003E6895"/>
    <w:rsid w:val="003E6A88"/>
    <w:rsid w:val="003E6B10"/>
    <w:rsid w:val="003E6B51"/>
    <w:rsid w:val="003E7253"/>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C59"/>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38B1"/>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B5"/>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013"/>
    <w:rsid w:val="00401123"/>
    <w:rsid w:val="0040127C"/>
    <w:rsid w:val="00401328"/>
    <w:rsid w:val="0040154B"/>
    <w:rsid w:val="004015AF"/>
    <w:rsid w:val="00401807"/>
    <w:rsid w:val="004018A5"/>
    <w:rsid w:val="00401AD1"/>
    <w:rsid w:val="00401D95"/>
    <w:rsid w:val="0040227F"/>
    <w:rsid w:val="004022F4"/>
    <w:rsid w:val="004024D2"/>
    <w:rsid w:val="004026B5"/>
    <w:rsid w:val="004033BF"/>
    <w:rsid w:val="004033ED"/>
    <w:rsid w:val="00403709"/>
    <w:rsid w:val="00403949"/>
    <w:rsid w:val="00403958"/>
    <w:rsid w:val="0040396A"/>
    <w:rsid w:val="00403B33"/>
    <w:rsid w:val="00403B3C"/>
    <w:rsid w:val="00403CD3"/>
    <w:rsid w:val="00404017"/>
    <w:rsid w:val="004041C5"/>
    <w:rsid w:val="00404393"/>
    <w:rsid w:val="00404542"/>
    <w:rsid w:val="00404798"/>
    <w:rsid w:val="00404905"/>
    <w:rsid w:val="00404B1B"/>
    <w:rsid w:val="00404B88"/>
    <w:rsid w:val="00404BB4"/>
    <w:rsid w:val="00404C14"/>
    <w:rsid w:val="00404DA7"/>
    <w:rsid w:val="00404E48"/>
    <w:rsid w:val="00404EB5"/>
    <w:rsid w:val="004050E9"/>
    <w:rsid w:val="0040538A"/>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E2"/>
    <w:rsid w:val="004078FD"/>
    <w:rsid w:val="00407C94"/>
    <w:rsid w:val="00407CFB"/>
    <w:rsid w:val="00407DCF"/>
    <w:rsid w:val="00407F34"/>
    <w:rsid w:val="004104A8"/>
    <w:rsid w:val="004107B3"/>
    <w:rsid w:val="00410A23"/>
    <w:rsid w:val="00410B05"/>
    <w:rsid w:val="00410E18"/>
    <w:rsid w:val="00411087"/>
    <w:rsid w:val="004111C5"/>
    <w:rsid w:val="00411304"/>
    <w:rsid w:val="00411466"/>
    <w:rsid w:val="0041171F"/>
    <w:rsid w:val="00411ADF"/>
    <w:rsid w:val="00411BCC"/>
    <w:rsid w:val="00412484"/>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E95"/>
    <w:rsid w:val="00414FCB"/>
    <w:rsid w:val="004151E4"/>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942"/>
    <w:rsid w:val="00422D37"/>
    <w:rsid w:val="00422E61"/>
    <w:rsid w:val="00423198"/>
    <w:rsid w:val="00423217"/>
    <w:rsid w:val="00423397"/>
    <w:rsid w:val="00423435"/>
    <w:rsid w:val="00423B88"/>
    <w:rsid w:val="00423E1D"/>
    <w:rsid w:val="00423F94"/>
    <w:rsid w:val="00423FC4"/>
    <w:rsid w:val="004241A7"/>
    <w:rsid w:val="004245B2"/>
    <w:rsid w:val="00424C81"/>
    <w:rsid w:val="00424D1C"/>
    <w:rsid w:val="004252BF"/>
    <w:rsid w:val="004252E0"/>
    <w:rsid w:val="00425373"/>
    <w:rsid w:val="004253AE"/>
    <w:rsid w:val="004254F7"/>
    <w:rsid w:val="0042553B"/>
    <w:rsid w:val="0042589E"/>
    <w:rsid w:val="00425D20"/>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4BAF"/>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EA1"/>
    <w:rsid w:val="00437F02"/>
    <w:rsid w:val="00437F70"/>
    <w:rsid w:val="0044012E"/>
    <w:rsid w:val="00440239"/>
    <w:rsid w:val="00440439"/>
    <w:rsid w:val="00440524"/>
    <w:rsid w:val="00440A05"/>
    <w:rsid w:val="00440A3A"/>
    <w:rsid w:val="00440D07"/>
    <w:rsid w:val="004410D4"/>
    <w:rsid w:val="004413D2"/>
    <w:rsid w:val="004414E2"/>
    <w:rsid w:val="004416FA"/>
    <w:rsid w:val="00441A00"/>
    <w:rsid w:val="00441C09"/>
    <w:rsid w:val="00441F9B"/>
    <w:rsid w:val="0044204C"/>
    <w:rsid w:val="0044213C"/>
    <w:rsid w:val="004426B9"/>
    <w:rsid w:val="00442B24"/>
    <w:rsid w:val="00442EF7"/>
    <w:rsid w:val="00442F91"/>
    <w:rsid w:val="0044306B"/>
    <w:rsid w:val="004432BF"/>
    <w:rsid w:val="004433AF"/>
    <w:rsid w:val="00443614"/>
    <w:rsid w:val="004438B8"/>
    <w:rsid w:val="00443E2D"/>
    <w:rsid w:val="00443F31"/>
    <w:rsid w:val="004440B1"/>
    <w:rsid w:val="004448BA"/>
    <w:rsid w:val="00444949"/>
    <w:rsid w:val="00444A99"/>
    <w:rsid w:val="00444DF6"/>
    <w:rsid w:val="00444F55"/>
    <w:rsid w:val="004451AF"/>
    <w:rsid w:val="004458AA"/>
    <w:rsid w:val="004459BE"/>
    <w:rsid w:val="00445B43"/>
    <w:rsid w:val="00445B98"/>
    <w:rsid w:val="00445EA2"/>
    <w:rsid w:val="00445F65"/>
    <w:rsid w:val="004463DC"/>
    <w:rsid w:val="004463DD"/>
    <w:rsid w:val="0044664C"/>
    <w:rsid w:val="004466AD"/>
    <w:rsid w:val="00446701"/>
    <w:rsid w:val="00446BBA"/>
    <w:rsid w:val="00446C1C"/>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5BD"/>
    <w:rsid w:val="00455606"/>
    <w:rsid w:val="0045571C"/>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6CC"/>
    <w:rsid w:val="00462985"/>
    <w:rsid w:val="00462C92"/>
    <w:rsid w:val="00462D0F"/>
    <w:rsid w:val="00462D4A"/>
    <w:rsid w:val="0046302F"/>
    <w:rsid w:val="00463284"/>
    <w:rsid w:val="004638BC"/>
    <w:rsid w:val="00463BEA"/>
    <w:rsid w:val="00463D19"/>
    <w:rsid w:val="00463E7D"/>
    <w:rsid w:val="0046414F"/>
    <w:rsid w:val="0046475D"/>
    <w:rsid w:val="00464A49"/>
    <w:rsid w:val="00464D03"/>
    <w:rsid w:val="00464D42"/>
    <w:rsid w:val="00464E2F"/>
    <w:rsid w:val="0046538D"/>
    <w:rsid w:val="0046550B"/>
    <w:rsid w:val="004657AC"/>
    <w:rsid w:val="00465AF0"/>
    <w:rsid w:val="00465B27"/>
    <w:rsid w:val="00465C3F"/>
    <w:rsid w:val="00465C78"/>
    <w:rsid w:val="00465D22"/>
    <w:rsid w:val="00465F9C"/>
    <w:rsid w:val="00466366"/>
    <w:rsid w:val="00466468"/>
    <w:rsid w:val="004665D9"/>
    <w:rsid w:val="00466733"/>
    <w:rsid w:val="00466864"/>
    <w:rsid w:val="004669D5"/>
    <w:rsid w:val="004669FB"/>
    <w:rsid w:val="00466D3F"/>
    <w:rsid w:val="00466D62"/>
    <w:rsid w:val="00466E0E"/>
    <w:rsid w:val="00466E9B"/>
    <w:rsid w:val="004677D5"/>
    <w:rsid w:val="00467AAF"/>
    <w:rsid w:val="00467AD2"/>
    <w:rsid w:val="00467B05"/>
    <w:rsid w:val="004702FF"/>
    <w:rsid w:val="00470B67"/>
    <w:rsid w:val="00470D83"/>
    <w:rsid w:val="00470F44"/>
    <w:rsid w:val="004710C0"/>
    <w:rsid w:val="0047121B"/>
    <w:rsid w:val="00471377"/>
    <w:rsid w:val="004713F0"/>
    <w:rsid w:val="00471731"/>
    <w:rsid w:val="004718E6"/>
    <w:rsid w:val="00471B42"/>
    <w:rsid w:val="004720D6"/>
    <w:rsid w:val="0047224D"/>
    <w:rsid w:val="004723BF"/>
    <w:rsid w:val="00472505"/>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05A"/>
    <w:rsid w:val="004771DF"/>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0CF8"/>
    <w:rsid w:val="00481174"/>
    <w:rsid w:val="004811D5"/>
    <w:rsid w:val="00481301"/>
    <w:rsid w:val="00481742"/>
    <w:rsid w:val="004820D0"/>
    <w:rsid w:val="0048219E"/>
    <w:rsid w:val="004823D6"/>
    <w:rsid w:val="004824EE"/>
    <w:rsid w:val="00482E43"/>
    <w:rsid w:val="00483085"/>
    <w:rsid w:val="00483157"/>
    <w:rsid w:val="004834C1"/>
    <w:rsid w:val="0048356C"/>
    <w:rsid w:val="00483611"/>
    <w:rsid w:val="004836D9"/>
    <w:rsid w:val="004838AF"/>
    <w:rsid w:val="00483A49"/>
    <w:rsid w:val="00483B3C"/>
    <w:rsid w:val="00483D0D"/>
    <w:rsid w:val="00483D81"/>
    <w:rsid w:val="00483DF7"/>
    <w:rsid w:val="00483E9A"/>
    <w:rsid w:val="00484056"/>
    <w:rsid w:val="0048409F"/>
    <w:rsid w:val="00484128"/>
    <w:rsid w:val="00484190"/>
    <w:rsid w:val="00484274"/>
    <w:rsid w:val="00484361"/>
    <w:rsid w:val="00484455"/>
    <w:rsid w:val="004844C5"/>
    <w:rsid w:val="0048453D"/>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841"/>
    <w:rsid w:val="004919E8"/>
    <w:rsid w:val="00491BAA"/>
    <w:rsid w:val="00491C68"/>
    <w:rsid w:val="00491E4F"/>
    <w:rsid w:val="004925EA"/>
    <w:rsid w:val="00492709"/>
    <w:rsid w:val="0049289E"/>
    <w:rsid w:val="004928AB"/>
    <w:rsid w:val="00492DDA"/>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7B6"/>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2A"/>
    <w:rsid w:val="004A2D69"/>
    <w:rsid w:val="004A2D71"/>
    <w:rsid w:val="004A3026"/>
    <w:rsid w:val="004A30D7"/>
    <w:rsid w:val="004A3152"/>
    <w:rsid w:val="004A3198"/>
    <w:rsid w:val="004A3263"/>
    <w:rsid w:val="004A3698"/>
    <w:rsid w:val="004A382D"/>
    <w:rsid w:val="004A3A53"/>
    <w:rsid w:val="004A40E1"/>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A50"/>
    <w:rsid w:val="004A7BDF"/>
    <w:rsid w:val="004A7E83"/>
    <w:rsid w:val="004B021B"/>
    <w:rsid w:val="004B02AC"/>
    <w:rsid w:val="004B04DE"/>
    <w:rsid w:val="004B0635"/>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DDE"/>
    <w:rsid w:val="004B2E4A"/>
    <w:rsid w:val="004B3058"/>
    <w:rsid w:val="004B309F"/>
    <w:rsid w:val="004B3191"/>
    <w:rsid w:val="004B33FE"/>
    <w:rsid w:val="004B3470"/>
    <w:rsid w:val="004B37C7"/>
    <w:rsid w:val="004B380A"/>
    <w:rsid w:val="004B3BAF"/>
    <w:rsid w:val="004B3C0A"/>
    <w:rsid w:val="004B3E1E"/>
    <w:rsid w:val="004B3F3F"/>
    <w:rsid w:val="004B3F78"/>
    <w:rsid w:val="004B3FDA"/>
    <w:rsid w:val="004B42E7"/>
    <w:rsid w:val="004B465F"/>
    <w:rsid w:val="004B484D"/>
    <w:rsid w:val="004B4E8C"/>
    <w:rsid w:val="004B4EDF"/>
    <w:rsid w:val="004B51FC"/>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69A"/>
    <w:rsid w:val="004C19B8"/>
    <w:rsid w:val="004C1C1B"/>
    <w:rsid w:val="004C1CB6"/>
    <w:rsid w:val="004C1FD0"/>
    <w:rsid w:val="004C20BB"/>
    <w:rsid w:val="004C24FE"/>
    <w:rsid w:val="004C2BE2"/>
    <w:rsid w:val="004C2DD6"/>
    <w:rsid w:val="004C2E70"/>
    <w:rsid w:val="004C31A2"/>
    <w:rsid w:val="004C3238"/>
    <w:rsid w:val="004C377F"/>
    <w:rsid w:val="004C3AD9"/>
    <w:rsid w:val="004C3C3E"/>
    <w:rsid w:val="004C3CBF"/>
    <w:rsid w:val="004C3FE9"/>
    <w:rsid w:val="004C406D"/>
    <w:rsid w:val="004C4389"/>
    <w:rsid w:val="004C4527"/>
    <w:rsid w:val="004C45DC"/>
    <w:rsid w:val="004C4732"/>
    <w:rsid w:val="004C475D"/>
    <w:rsid w:val="004C49B8"/>
    <w:rsid w:val="004C49DB"/>
    <w:rsid w:val="004C4A76"/>
    <w:rsid w:val="004C4BEB"/>
    <w:rsid w:val="004C4C27"/>
    <w:rsid w:val="004C4C54"/>
    <w:rsid w:val="004C4D78"/>
    <w:rsid w:val="004C5236"/>
    <w:rsid w:val="004C54B6"/>
    <w:rsid w:val="004C5536"/>
    <w:rsid w:val="004C56C7"/>
    <w:rsid w:val="004C5AB2"/>
    <w:rsid w:val="004C5AE1"/>
    <w:rsid w:val="004C60D1"/>
    <w:rsid w:val="004C654C"/>
    <w:rsid w:val="004C658C"/>
    <w:rsid w:val="004C68E4"/>
    <w:rsid w:val="004C697F"/>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81"/>
    <w:rsid w:val="004D3585"/>
    <w:rsid w:val="004D35AD"/>
    <w:rsid w:val="004D3BF2"/>
    <w:rsid w:val="004D3E8A"/>
    <w:rsid w:val="004D3E8D"/>
    <w:rsid w:val="004D3F29"/>
    <w:rsid w:val="004D3F3F"/>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7AB"/>
    <w:rsid w:val="004D7C14"/>
    <w:rsid w:val="004E0554"/>
    <w:rsid w:val="004E0791"/>
    <w:rsid w:val="004E08E0"/>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367"/>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1F3"/>
    <w:rsid w:val="004F04C7"/>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62"/>
    <w:rsid w:val="004F29F7"/>
    <w:rsid w:val="004F2C4C"/>
    <w:rsid w:val="004F2D8B"/>
    <w:rsid w:val="004F322E"/>
    <w:rsid w:val="004F336F"/>
    <w:rsid w:val="004F376F"/>
    <w:rsid w:val="004F39AB"/>
    <w:rsid w:val="004F3AA1"/>
    <w:rsid w:val="004F3B42"/>
    <w:rsid w:val="004F3C7C"/>
    <w:rsid w:val="004F3D43"/>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88F"/>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28E"/>
    <w:rsid w:val="00500316"/>
    <w:rsid w:val="00500A6F"/>
    <w:rsid w:val="00500AD5"/>
    <w:rsid w:val="00500AFE"/>
    <w:rsid w:val="00501330"/>
    <w:rsid w:val="00501548"/>
    <w:rsid w:val="0050158D"/>
    <w:rsid w:val="0050166D"/>
    <w:rsid w:val="00501846"/>
    <w:rsid w:val="00501A30"/>
    <w:rsid w:val="00501BBE"/>
    <w:rsid w:val="00501C78"/>
    <w:rsid w:val="00501F73"/>
    <w:rsid w:val="00501FA8"/>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91C"/>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4A"/>
    <w:rsid w:val="0051665E"/>
    <w:rsid w:val="0051673C"/>
    <w:rsid w:val="00516D7B"/>
    <w:rsid w:val="00517196"/>
    <w:rsid w:val="00517325"/>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845"/>
    <w:rsid w:val="00521A1B"/>
    <w:rsid w:val="00521B0E"/>
    <w:rsid w:val="00521BB6"/>
    <w:rsid w:val="00521D36"/>
    <w:rsid w:val="0052255A"/>
    <w:rsid w:val="005228C0"/>
    <w:rsid w:val="005229C7"/>
    <w:rsid w:val="005230B3"/>
    <w:rsid w:val="005230D2"/>
    <w:rsid w:val="00523466"/>
    <w:rsid w:val="005236E6"/>
    <w:rsid w:val="00523B8D"/>
    <w:rsid w:val="00523DD2"/>
    <w:rsid w:val="00523E1B"/>
    <w:rsid w:val="00523F10"/>
    <w:rsid w:val="00524035"/>
    <w:rsid w:val="005242AF"/>
    <w:rsid w:val="00524A74"/>
    <w:rsid w:val="00524CB1"/>
    <w:rsid w:val="00524D6E"/>
    <w:rsid w:val="0052514B"/>
    <w:rsid w:val="0052539D"/>
    <w:rsid w:val="00525833"/>
    <w:rsid w:val="00525C0B"/>
    <w:rsid w:val="0052634E"/>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613"/>
    <w:rsid w:val="00530845"/>
    <w:rsid w:val="005308D6"/>
    <w:rsid w:val="005309B2"/>
    <w:rsid w:val="00530A79"/>
    <w:rsid w:val="0053106B"/>
    <w:rsid w:val="00531682"/>
    <w:rsid w:val="005318B5"/>
    <w:rsid w:val="00531999"/>
    <w:rsid w:val="00531AB7"/>
    <w:rsid w:val="00531AFC"/>
    <w:rsid w:val="00531B40"/>
    <w:rsid w:val="00531D96"/>
    <w:rsid w:val="00532013"/>
    <w:rsid w:val="005320AD"/>
    <w:rsid w:val="00532464"/>
    <w:rsid w:val="00532607"/>
    <w:rsid w:val="00532647"/>
    <w:rsid w:val="0053270E"/>
    <w:rsid w:val="00532891"/>
    <w:rsid w:val="00532C20"/>
    <w:rsid w:val="00532C42"/>
    <w:rsid w:val="00532CC2"/>
    <w:rsid w:val="00532D06"/>
    <w:rsid w:val="00532FDE"/>
    <w:rsid w:val="00533439"/>
    <w:rsid w:val="005336C9"/>
    <w:rsid w:val="005338B8"/>
    <w:rsid w:val="00533A45"/>
    <w:rsid w:val="00533A50"/>
    <w:rsid w:val="00533AA9"/>
    <w:rsid w:val="00533FE5"/>
    <w:rsid w:val="0053408C"/>
    <w:rsid w:val="00534502"/>
    <w:rsid w:val="00534684"/>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17A"/>
    <w:rsid w:val="005371D8"/>
    <w:rsid w:val="0053747F"/>
    <w:rsid w:val="00537A42"/>
    <w:rsid w:val="00537A58"/>
    <w:rsid w:val="00537AF1"/>
    <w:rsid w:val="00537B0B"/>
    <w:rsid w:val="00537BF1"/>
    <w:rsid w:val="00537C2B"/>
    <w:rsid w:val="00537CEB"/>
    <w:rsid w:val="005400A6"/>
    <w:rsid w:val="005401B7"/>
    <w:rsid w:val="005402E0"/>
    <w:rsid w:val="00540354"/>
    <w:rsid w:val="005403ED"/>
    <w:rsid w:val="0054060F"/>
    <w:rsid w:val="005407E0"/>
    <w:rsid w:val="005408E5"/>
    <w:rsid w:val="0054093F"/>
    <w:rsid w:val="0054099D"/>
    <w:rsid w:val="00540A60"/>
    <w:rsid w:val="00540ABD"/>
    <w:rsid w:val="00540D67"/>
    <w:rsid w:val="00541179"/>
    <w:rsid w:val="00541687"/>
    <w:rsid w:val="005416F2"/>
    <w:rsid w:val="00541C0E"/>
    <w:rsid w:val="00541DCB"/>
    <w:rsid w:val="00542251"/>
    <w:rsid w:val="005423C2"/>
    <w:rsid w:val="0054252D"/>
    <w:rsid w:val="00542722"/>
    <w:rsid w:val="005427D0"/>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218"/>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D0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8B6"/>
    <w:rsid w:val="00557A70"/>
    <w:rsid w:val="00557BAA"/>
    <w:rsid w:val="00557EBD"/>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98"/>
    <w:rsid w:val="005626EA"/>
    <w:rsid w:val="005629B6"/>
    <w:rsid w:val="00562F48"/>
    <w:rsid w:val="00563314"/>
    <w:rsid w:val="005637D1"/>
    <w:rsid w:val="0056398C"/>
    <w:rsid w:val="00563B43"/>
    <w:rsid w:val="00563C09"/>
    <w:rsid w:val="005640C5"/>
    <w:rsid w:val="00564116"/>
    <w:rsid w:val="005642F2"/>
    <w:rsid w:val="005643E5"/>
    <w:rsid w:val="0056440A"/>
    <w:rsid w:val="00564569"/>
    <w:rsid w:val="0056457A"/>
    <w:rsid w:val="005645DA"/>
    <w:rsid w:val="005646BC"/>
    <w:rsid w:val="0056470D"/>
    <w:rsid w:val="005648BF"/>
    <w:rsid w:val="005648E9"/>
    <w:rsid w:val="00564AE5"/>
    <w:rsid w:val="00564BDD"/>
    <w:rsid w:val="00564EC5"/>
    <w:rsid w:val="00565625"/>
    <w:rsid w:val="00565959"/>
    <w:rsid w:val="00565B5B"/>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6A7"/>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988"/>
    <w:rsid w:val="00575AE5"/>
    <w:rsid w:val="00575CDC"/>
    <w:rsid w:val="00575E0F"/>
    <w:rsid w:val="00575E82"/>
    <w:rsid w:val="00575F09"/>
    <w:rsid w:val="0057667F"/>
    <w:rsid w:val="00576A27"/>
    <w:rsid w:val="00576D33"/>
    <w:rsid w:val="00576D43"/>
    <w:rsid w:val="00576D68"/>
    <w:rsid w:val="00576DC6"/>
    <w:rsid w:val="00576FB2"/>
    <w:rsid w:val="0057748F"/>
    <w:rsid w:val="0057781E"/>
    <w:rsid w:val="005779E9"/>
    <w:rsid w:val="00580071"/>
    <w:rsid w:val="00580205"/>
    <w:rsid w:val="00580258"/>
    <w:rsid w:val="005803EC"/>
    <w:rsid w:val="0058042D"/>
    <w:rsid w:val="00580ABE"/>
    <w:rsid w:val="00580FEE"/>
    <w:rsid w:val="00580FF7"/>
    <w:rsid w:val="0058129D"/>
    <w:rsid w:val="005813F8"/>
    <w:rsid w:val="00581460"/>
    <w:rsid w:val="005814C3"/>
    <w:rsid w:val="0058167E"/>
    <w:rsid w:val="00581A59"/>
    <w:rsid w:val="00581AFA"/>
    <w:rsid w:val="00581CDC"/>
    <w:rsid w:val="0058208A"/>
    <w:rsid w:val="0058213D"/>
    <w:rsid w:val="005821BA"/>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0AC"/>
    <w:rsid w:val="005862E6"/>
    <w:rsid w:val="0058641D"/>
    <w:rsid w:val="00586666"/>
    <w:rsid w:val="00586706"/>
    <w:rsid w:val="00586C8C"/>
    <w:rsid w:val="00586CA1"/>
    <w:rsid w:val="00586D03"/>
    <w:rsid w:val="0058709F"/>
    <w:rsid w:val="00587170"/>
    <w:rsid w:val="005873BA"/>
    <w:rsid w:val="005876B6"/>
    <w:rsid w:val="0058775E"/>
    <w:rsid w:val="00587F21"/>
    <w:rsid w:val="00587FAE"/>
    <w:rsid w:val="005905A8"/>
    <w:rsid w:val="005908E5"/>
    <w:rsid w:val="0059099D"/>
    <w:rsid w:val="00590E0C"/>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02B"/>
    <w:rsid w:val="00593543"/>
    <w:rsid w:val="00593A72"/>
    <w:rsid w:val="00593C92"/>
    <w:rsid w:val="00593E74"/>
    <w:rsid w:val="00593F9B"/>
    <w:rsid w:val="00593FA4"/>
    <w:rsid w:val="00594011"/>
    <w:rsid w:val="0059432F"/>
    <w:rsid w:val="00594341"/>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92"/>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9DE"/>
    <w:rsid w:val="005A1A64"/>
    <w:rsid w:val="005A1C91"/>
    <w:rsid w:val="005A232E"/>
    <w:rsid w:val="005A233F"/>
    <w:rsid w:val="005A254F"/>
    <w:rsid w:val="005A2D7B"/>
    <w:rsid w:val="005A2D86"/>
    <w:rsid w:val="005A3160"/>
    <w:rsid w:val="005A31F4"/>
    <w:rsid w:val="005A32EC"/>
    <w:rsid w:val="005A3364"/>
    <w:rsid w:val="005A33D8"/>
    <w:rsid w:val="005A354C"/>
    <w:rsid w:val="005A3AC7"/>
    <w:rsid w:val="005A3CAC"/>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2C"/>
    <w:rsid w:val="005A5CE4"/>
    <w:rsid w:val="005A5E22"/>
    <w:rsid w:val="005A606F"/>
    <w:rsid w:val="005A648F"/>
    <w:rsid w:val="005A693F"/>
    <w:rsid w:val="005A694A"/>
    <w:rsid w:val="005A6963"/>
    <w:rsid w:val="005A6AD2"/>
    <w:rsid w:val="005A705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22"/>
    <w:rsid w:val="005B31F3"/>
    <w:rsid w:val="005B335D"/>
    <w:rsid w:val="005B33F4"/>
    <w:rsid w:val="005B3431"/>
    <w:rsid w:val="005B3B75"/>
    <w:rsid w:val="005B3BC0"/>
    <w:rsid w:val="005B3E41"/>
    <w:rsid w:val="005B3FDD"/>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6BF"/>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648"/>
    <w:rsid w:val="005C080B"/>
    <w:rsid w:val="005C0D2E"/>
    <w:rsid w:val="005C1370"/>
    <w:rsid w:val="005C1B32"/>
    <w:rsid w:val="005C1DDA"/>
    <w:rsid w:val="005C20A7"/>
    <w:rsid w:val="005C25A7"/>
    <w:rsid w:val="005C286F"/>
    <w:rsid w:val="005C2B7C"/>
    <w:rsid w:val="005C2CF7"/>
    <w:rsid w:val="005C306F"/>
    <w:rsid w:val="005C3363"/>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C99"/>
    <w:rsid w:val="005C5D37"/>
    <w:rsid w:val="005C5FC6"/>
    <w:rsid w:val="005C61A0"/>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6D1"/>
    <w:rsid w:val="005D181D"/>
    <w:rsid w:val="005D18B2"/>
    <w:rsid w:val="005D1B0B"/>
    <w:rsid w:val="005D1D45"/>
    <w:rsid w:val="005D2404"/>
    <w:rsid w:val="005D27EC"/>
    <w:rsid w:val="005D295E"/>
    <w:rsid w:val="005D2CEC"/>
    <w:rsid w:val="005D2D36"/>
    <w:rsid w:val="005D310B"/>
    <w:rsid w:val="005D3114"/>
    <w:rsid w:val="005D318C"/>
    <w:rsid w:val="005D31CC"/>
    <w:rsid w:val="005D3310"/>
    <w:rsid w:val="005D3427"/>
    <w:rsid w:val="005D345E"/>
    <w:rsid w:val="005D34DB"/>
    <w:rsid w:val="005D35C9"/>
    <w:rsid w:val="005D397C"/>
    <w:rsid w:val="005D39DA"/>
    <w:rsid w:val="005D41A3"/>
    <w:rsid w:val="005D42EA"/>
    <w:rsid w:val="005D43C3"/>
    <w:rsid w:val="005D4494"/>
    <w:rsid w:val="005D45F0"/>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71C"/>
    <w:rsid w:val="005E088D"/>
    <w:rsid w:val="005E08CF"/>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CB5"/>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3C5"/>
    <w:rsid w:val="005E647F"/>
    <w:rsid w:val="005E6618"/>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DD"/>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9EF"/>
    <w:rsid w:val="005F5B04"/>
    <w:rsid w:val="005F5B26"/>
    <w:rsid w:val="005F5C17"/>
    <w:rsid w:val="005F5D92"/>
    <w:rsid w:val="005F62E7"/>
    <w:rsid w:val="005F6511"/>
    <w:rsid w:val="005F6764"/>
    <w:rsid w:val="005F6820"/>
    <w:rsid w:val="005F6B2D"/>
    <w:rsid w:val="005F6CEC"/>
    <w:rsid w:val="005F6CF4"/>
    <w:rsid w:val="005F7243"/>
    <w:rsid w:val="005F74A2"/>
    <w:rsid w:val="005F7539"/>
    <w:rsid w:val="005F76E0"/>
    <w:rsid w:val="005F7771"/>
    <w:rsid w:val="005F793A"/>
    <w:rsid w:val="005F7955"/>
    <w:rsid w:val="005F7A5F"/>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7E1"/>
    <w:rsid w:val="006119CE"/>
    <w:rsid w:val="00611EA3"/>
    <w:rsid w:val="00612016"/>
    <w:rsid w:val="0061224A"/>
    <w:rsid w:val="00612337"/>
    <w:rsid w:val="0061236C"/>
    <w:rsid w:val="00612484"/>
    <w:rsid w:val="006125AB"/>
    <w:rsid w:val="006129BB"/>
    <w:rsid w:val="00612AAF"/>
    <w:rsid w:val="00612E32"/>
    <w:rsid w:val="00612FC7"/>
    <w:rsid w:val="00612FE8"/>
    <w:rsid w:val="006130B1"/>
    <w:rsid w:val="006134E5"/>
    <w:rsid w:val="00613530"/>
    <w:rsid w:val="00613543"/>
    <w:rsid w:val="006138D9"/>
    <w:rsid w:val="00613988"/>
    <w:rsid w:val="00613FBE"/>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6EB7"/>
    <w:rsid w:val="00627316"/>
    <w:rsid w:val="00627663"/>
    <w:rsid w:val="006276C9"/>
    <w:rsid w:val="006279B3"/>
    <w:rsid w:val="00627ADB"/>
    <w:rsid w:val="00627B4F"/>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6E7"/>
    <w:rsid w:val="0063273A"/>
    <w:rsid w:val="0063274C"/>
    <w:rsid w:val="00632AE6"/>
    <w:rsid w:val="00632FAD"/>
    <w:rsid w:val="0063308A"/>
    <w:rsid w:val="006333B6"/>
    <w:rsid w:val="006339F5"/>
    <w:rsid w:val="00633D0F"/>
    <w:rsid w:val="0063415C"/>
    <w:rsid w:val="0063418C"/>
    <w:rsid w:val="00634224"/>
    <w:rsid w:val="006342C4"/>
    <w:rsid w:val="00634407"/>
    <w:rsid w:val="00634B84"/>
    <w:rsid w:val="006350C3"/>
    <w:rsid w:val="00635253"/>
    <w:rsid w:val="0063587F"/>
    <w:rsid w:val="006359FC"/>
    <w:rsid w:val="00635A6B"/>
    <w:rsid w:val="00635D9E"/>
    <w:rsid w:val="00635E74"/>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4A9"/>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72"/>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04"/>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2F0E"/>
    <w:rsid w:val="006530B9"/>
    <w:rsid w:val="006531AF"/>
    <w:rsid w:val="00653760"/>
    <w:rsid w:val="00653819"/>
    <w:rsid w:val="00653921"/>
    <w:rsid w:val="0065397D"/>
    <w:rsid w:val="00653B9F"/>
    <w:rsid w:val="00653D03"/>
    <w:rsid w:val="00653D59"/>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D8C"/>
    <w:rsid w:val="00661E74"/>
    <w:rsid w:val="00661E76"/>
    <w:rsid w:val="00661EB5"/>
    <w:rsid w:val="0066208C"/>
    <w:rsid w:val="006626AE"/>
    <w:rsid w:val="006628C5"/>
    <w:rsid w:val="0066290D"/>
    <w:rsid w:val="00662F0A"/>
    <w:rsid w:val="00663309"/>
    <w:rsid w:val="0066340C"/>
    <w:rsid w:val="006634A2"/>
    <w:rsid w:val="0066369F"/>
    <w:rsid w:val="00663852"/>
    <w:rsid w:val="00663958"/>
    <w:rsid w:val="00664045"/>
    <w:rsid w:val="00664173"/>
    <w:rsid w:val="00664DE7"/>
    <w:rsid w:val="00665869"/>
    <w:rsid w:val="00665C0E"/>
    <w:rsid w:val="00665EDD"/>
    <w:rsid w:val="00665FD1"/>
    <w:rsid w:val="0066605D"/>
    <w:rsid w:val="00666295"/>
    <w:rsid w:val="00666699"/>
    <w:rsid w:val="00666C89"/>
    <w:rsid w:val="006671E4"/>
    <w:rsid w:val="00667237"/>
    <w:rsid w:val="00667524"/>
    <w:rsid w:val="006675B6"/>
    <w:rsid w:val="00667743"/>
    <w:rsid w:val="00667868"/>
    <w:rsid w:val="00667929"/>
    <w:rsid w:val="00667DD8"/>
    <w:rsid w:val="00667E38"/>
    <w:rsid w:val="00667FF5"/>
    <w:rsid w:val="0067021D"/>
    <w:rsid w:val="00670240"/>
    <w:rsid w:val="00670841"/>
    <w:rsid w:val="00670AB5"/>
    <w:rsid w:val="00670BC6"/>
    <w:rsid w:val="00670E58"/>
    <w:rsid w:val="00670EE3"/>
    <w:rsid w:val="0067141E"/>
    <w:rsid w:val="0067154F"/>
    <w:rsid w:val="006716F1"/>
    <w:rsid w:val="006718C0"/>
    <w:rsid w:val="00671EA6"/>
    <w:rsid w:val="00671F3A"/>
    <w:rsid w:val="00671F81"/>
    <w:rsid w:val="0067200C"/>
    <w:rsid w:val="0067204B"/>
    <w:rsid w:val="00672457"/>
    <w:rsid w:val="006726C8"/>
    <w:rsid w:val="00672706"/>
    <w:rsid w:val="006728E3"/>
    <w:rsid w:val="0067296B"/>
    <w:rsid w:val="00672AFE"/>
    <w:rsid w:val="00672C47"/>
    <w:rsid w:val="00672D10"/>
    <w:rsid w:val="00672D75"/>
    <w:rsid w:val="0067305F"/>
    <w:rsid w:val="0067327C"/>
    <w:rsid w:val="0067327E"/>
    <w:rsid w:val="0067347C"/>
    <w:rsid w:val="006734A3"/>
    <w:rsid w:val="006735F4"/>
    <w:rsid w:val="006737EE"/>
    <w:rsid w:val="00673877"/>
    <w:rsid w:val="00673B77"/>
    <w:rsid w:val="00673C0E"/>
    <w:rsid w:val="00673E59"/>
    <w:rsid w:val="00673FAA"/>
    <w:rsid w:val="0067409A"/>
    <w:rsid w:val="00674607"/>
    <w:rsid w:val="00674700"/>
    <w:rsid w:val="00674760"/>
    <w:rsid w:val="0067481A"/>
    <w:rsid w:val="006749AA"/>
    <w:rsid w:val="00674D4D"/>
    <w:rsid w:val="00674EDD"/>
    <w:rsid w:val="00674F7A"/>
    <w:rsid w:val="00675018"/>
    <w:rsid w:val="0067510C"/>
    <w:rsid w:val="00675204"/>
    <w:rsid w:val="00675421"/>
    <w:rsid w:val="0067555B"/>
    <w:rsid w:val="00675780"/>
    <w:rsid w:val="00675B5D"/>
    <w:rsid w:val="00675F54"/>
    <w:rsid w:val="00676102"/>
    <w:rsid w:val="00676382"/>
    <w:rsid w:val="0067638F"/>
    <w:rsid w:val="006769BC"/>
    <w:rsid w:val="00676B7D"/>
    <w:rsid w:val="00676C66"/>
    <w:rsid w:val="00676C78"/>
    <w:rsid w:val="00676D63"/>
    <w:rsid w:val="00676EA5"/>
    <w:rsid w:val="00676F50"/>
    <w:rsid w:val="006771C7"/>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45E"/>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3EFE"/>
    <w:rsid w:val="006840D1"/>
    <w:rsid w:val="006843DF"/>
    <w:rsid w:val="0068458B"/>
    <w:rsid w:val="00684750"/>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B19"/>
    <w:rsid w:val="00687F5D"/>
    <w:rsid w:val="0069004E"/>
    <w:rsid w:val="0069043B"/>
    <w:rsid w:val="00690574"/>
    <w:rsid w:val="00690623"/>
    <w:rsid w:val="00690915"/>
    <w:rsid w:val="00690C3A"/>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79D"/>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2"/>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34F"/>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354"/>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C29"/>
    <w:rsid w:val="006A5D0C"/>
    <w:rsid w:val="006A5EA2"/>
    <w:rsid w:val="006A6030"/>
    <w:rsid w:val="006A64F8"/>
    <w:rsid w:val="006A676A"/>
    <w:rsid w:val="006A6CA3"/>
    <w:rsid w:val="006A6FC3"/>
    <w:rsid w:val="006A7449"/>
    <w:rsid w:val="006A75E3"/>
    <w:rsid w:val="006A761B"/>
    <w:rsid w:val="006A79F6"/>
    <w:rsid w:val="006A7BA6"/>
    <w:rsid w:val="006A7C36"/>
    <w:rsid w:val="006A7EAA"/>
    <w:rsid w:val="006B01D3"/>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B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766"/>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1F4C"/>
    <w:rsid w:val="006C2260"/>
    <w:rsid w:val="006C2585"/>
    <w:rsid w:val="006C283D"/>
    <w:rsid w:val="006C2962"/>
    <w:rsid w:val="006C2A1C"/>
    <w:rsid w:val="006C2A79"/>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8E0"/>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AE0"/>
    <w:rsid w:val="006D2B94"/>
    <w:rsid w:val="006D2C45"/>
    <w:rsid w:val="006D2CBA"/>
    <w:rsid w:val="006D2D5A"/>
    <w:rsid w:val="006D2DB1"/>
    <w:rsid w:val="006D2F6D"/>
    <w:rsid w:val="006D364E"/>
    <w:rsid w:val="006D3716"/>
    <w:rsid w:val="006D3827"/>
    <w:rsid w:val="006D39A1"/>
    <w:rsid w:val="006D3BAF"/>
    <w:rsid w:val="006D3D2C"/>
    <w:rsid w:val="006D3E81"/>
    <w:rsid w:val="006D3F46"/>
    <w:rsid w:val="006D3FD4"/>
    <w:rsid w:val="006D406C"/>
    <w:rsid w:val="006D4212"/>
    <w:rsid w:val="006D43B2"/>
    <w:rsid w:val="006D4457"/>
    <w:rsid w:val="006D4918"/>
    <w:rsid w:val="006D4AAC"/>
    <w:rsid w:val="006D4D02"/>
    <w:rsid w:val="006D4E1F"/>
    <w:rsid w:val="006D4F9D"/>
    <w:rsid w:val="006D528E"/>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A93"/>
    <w:rsid w:val="006D7BB2"/>
    <w:rsid w:val="006D7F44"/>
    <w:rsid w:val="006E015F"/>
    <w:rsid w:val="006E02CA"/>
    <w:rsid w:val="006E0444"/>
    <w:rsid w:val="006E051E"/>
    <w:rsid w:val="006E07D1"/>
    <w:rsid w:val="006E0851"/>
    <w:rsid w:val="006E09C6"/>
    <w:rsid w:val="006E0AE8"/>
    <w:rsid w:val="006E0D89"/>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7D3"/>
    <w:rsid w:val="006E288D"/>
    <w:rsid w:val="006E2950"/>
    <w:rsid w:val="006E2B13"/>
    <w:rsid w:val="006E2B83"/>
    <w:rsid w:val="006E3098"/>
    <w:rsid w:val="006E32A2"/>
    <w:rsid w:val="006E3447"/>
    <w:rsid w:val="006E35C0"/>
    <w:rsid w:val="006E3AFB"/>
    <w:rsid w:val="006E3DEB"/>
    <w:rsid w:val="006E3E34"/>
    <w:rsid w:val="006E4130"/>
    <w:rsid w:val="006E41FA"/>
    <w:rsid w:val="006E452C"/>
    <w:rsid w:val="006E4CC3"/>
    <w:rsid w:val="006E4EFF"/>
    <w:rsid w:val="006E50F8"/>
    <w:rsid w:val="006E5101"/>
    <w:rsid w:val="006E5757"/>
    <w:rsid w:val="006E5ACE"/>
    <w:rsid w:val="006E5DF1"/>
    <w:rsid w:val="006E5E4E"/>
    <w:rsid w:val="006E610C"/>
    <w:rsid w:val="006E611B"/>
    <w:rsid w:val="006E61C0"/>
    <w:rsid w:val="006E64BB"/>
    <w:rsid w:val="006E672B"/>
    <w:rsid w:val="006E68CE"/>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6D"/>
    <w:rsid w:val="006F2EE4"/>
    <w:rsid w:val="006F3147"/>
    <w:rsid w:val="006F31A0"/>
    <w:rsid w:val="006F3862"/>
    <w:rsid w:val="006F38C7"/>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1C7"/>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338"/>
    <w:rsid w:val="00702434"/>
    <w:rsid w:val="00702488"/>
    <w:rsid w:val="00702690"/>
    <w:rsid w:val="00702715"/>
    <w:rsid w:val="0070277C"/>
    <w:rsid w:val="0070298E"/>
    <w:rsid w:val="00702AC0"/>
    <w:rsid w:val="00702B98"/>
    <w:rsid w:val="00702BD1"/>
    <w:rsid w:val="007030D1"/>
    <w:rsid w:val="00703353"/>
    <w:rsid w:val="00703891"/>
    <w:rsid w:val="00703C0D"/>
    <w:rsid w:val="00703C5E"/>
    <w:rsid w:val="00703E8B"/>
    <w:rsid w:val="00704124"/>
    <w:rsid w:val="0070455C"/>
    <w:rsid w:val="0070470A"/>
    <w:rsid w:val="0070473C"/>
    <w:rsid w:val="00704F80"/>
    <w:rsid w:val="00705004"/>
    <w:rsid w:val="00705385"/>
    <w:rsid w:val="007057E9"/>
    <w:rsid w:val="00705958"/>
    <w:rsid w:val="00705AAC"/>
    <w:rsid w:val="00705C55"/>
    <w:rsid w:val="00706500"/>
    <w:rsid w:val="00706B89"/>
    <w:rsid w:val="0070725F"/>
    <w:rsid w:val="00707456"/>
    <w:rsid w:val="007077F3"/>
    <w:rsid w:val="00707A03"/>
    <w:rsid w:val="00707A0C"/>
    <w:rsid w:val="00707BDE"/>
    <w:rsid w:val="00710143"/>
    <w:rsid w:val="00710173"/>
    <w:rsid w:val="0071019A"/>
    <w:rsid w:val="007101A4"/>
    <w:rsid w:val="007102F7"/>
    <w:rsid w:val="0071063E"/>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5BB"/>
    <w:rsid w:val="0071468F"/>
    <w:rsid w:val="00714818"/>
    <w:rsid w:val="00714AE6"/>
    <w:rsid w:val="00714B85"/>
    <w:rsid w:val="00714D21"/>
    <w:rsid w:val="00714EEA"/>
    <w:rsid w:val="00714FDB"/>
    <w:rsid w:val="007153BF"/>
    <w:rsid w:val="00715842"/>
    <w:rsid w:val="00715945"/>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90B"/>
    <w:rsid w:val="00722E44"/>
    <w:rsid w:val="00722F63"/>
    <w:rsid w:val="0072320F"/>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4F1"/>
    <w:rsid w:val="00735535"/>
    <w:rsid w:val="0073589B"/>
    <w:rsid w:val="00735992"/>
    <w:rsid w:val="00735A9A"/>
    <w:rsid w:val="00735D67"/>
    <w:rsid w:val="00735E40"/>
    <w:rsid w:val="00736346"/>
    <w:rsid w:val="007365F3"/>
    <w:rsid w:val="0073677B"/>
    <w:rsid w:val="0073688F"/>
    <w:rsid w:val="00736BAA"/>
    <w:rsid w:val="00736D35"/>
    <w:rsid w:val="00736DA6"/>
    <w:rsid w:val="00736E9E"/>
    <w:rsid w:val="00736F90"/>
    <w:rsid w:val="00737151"/>
    <w:rsid w:val="007373D0"/>
    <w:rsid w:val="00737449"/>
    <w:rsid w:val="007374BC"/>
    <w:rsid w:val="007374DB"/>
    <w:rsid w:val="00737822"/>
    <w:rsid w:val="0073796C"/>
    <w:rsid w:val="00737A75"/>
    <w:rsid w:val="00737AF0"/>
    <w:rsid w:val="00737CC6"/>
    <w:rsid w:val="00737E65"/>
    <w:rsid w:val="00737F96"/>
    <w:rsid w:val="00740033"/>
    <w:rsid w:val="007402E8"/>
    <w:rsid w:val="0074035B"/>
    <w:rsid w:val="00740C35"/>
    <w:rsid w:val="00740CBB"/>
    <w:rsid w:val="00741559"/>
    <w:rsid w:val="007418E1"/>
    <w:rsid w:val="00741A23"/>
    <w:rsid w:val="00742982"/>
    <w:rsid w:val="00742A27"/>
    <w:rsid w:val="00742AF5"/>
    <w:rsid w:val="00742F71"/>
    <w:rsid w:val="007431E3"/>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2CE"/>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0EEB"/>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164"/>
    <w:rsid w:val="007553C0"/>
    <w:rsid w:val="00755624"/>
    <w:rsid w:val="007559C5"/>
    <w:rsid w:val="00755C01"/>
    <w:rsid w:val="00755C96"/>
    <w:rsid w:val="00755DBF"/>
    <w:rsid w:val="007560F3"/>
    <w:rsid w:val="007561AB"/>
    <w:rsid w:val="007561F4"/>
    <w:rsid w:val="00756270"/>
    <w:rsid w:val="007564E1"/>
    <w:rsid w:val="0075669B"/>
    <w:rsid w:val="00756900"/>
    <w:rsid w:val="00756D77"/>
    <w:rsid w:val="00756F8A"/>
    <w:rsid w:val="00757019"/>
    <w:rsid w:val="007571AF"/>
    <w:rsid w:val="00757200"/>
    <w:rsid w:val="0075730F"/>
    <w:rsid w:val="007574CE"/>
    <w:rsid w:val="007574D5"/>
    <w:rsid w:val="007578A6"/>
    <w:rsid w:val="00757902"/>
    <w:rsid w:val="00757BCF"/>
    <w:rsid w:val="00757C27"/>
    <w:rsid w:val="00757E6F"/>
    <w:rsid w:val="00757E80"/>
    <w:rsid w:val="00760309"/>
    <w:rsid w:val="00760465"/>
    <w:rsid w:val="0076049C"/>
    <w:rsid w:val="00760FE1"/>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1"/>
    <w:rsid w:val="00762D63"/>
    <w:rsid w:val="00762DF1"/>
    <w:rsid w:val="00762DF2"/>
    <w:rsid w:val="00762F95"/>
    <w:rsid w:val="00763014"/>
    <w:rsid w:val="007633FC"/>
    <w:rsid w:val="00763643"/>
    <w:rsid w:val="0076369E"/>
    <w:rsid w:val="0076381F"/>
    <w:rsid w:val="00763E6E"/>
    <w:rsid w:val="00764053"/>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24"/>
    <w:rsid w:val="0076775E"/>
    <w:rsid w:val="00767830"/>
    <w:rsid w:val="007679BA"/>
    <w:rsid w:val="007679D1"/>
    <w:rsid w:val="00767B5C"/>
    <w:rsid w:val="00767B68"/>
    <w:rsid w:val="00767D54"/>
    <w:rsid w:val="00767D8E"/>
    <w:rsid w:val="00767E9D"/>
    <w:rsid w:val="00770400"/>
    <w:rsid w:val="00770634"/>
    <w:rsid w:val="00770A60"/>
    <w:rsid w:val="00770D3E"/>
    <w:rsid w:val="00770EB8"/>
    <w:rsid w:val="007710CB"/>
    <w:rsid w:val="007713AC"/>
    <w:rsid w:val="007713D4"/>
    <w:rsid w:val="00771470"/>
    <w:rsid w:val="00771652"/>
    <w:rsid w:val="0077173D"/>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58"/>
    <w:rsid w:val="00773ED5"/>
    <w:rsid w:val="007740A8"/>
    <w:rsid w:val="007743CC"/>
    <w:rsid w:val="0077441C"/>
    <w:rsid w:val="0077453A"/>
    <w:rsid w:val="007746C9"/>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DAE"/>
    <w:rsid w:val="00776ED8"/>
    <w:rsid w:val="007772D7"/>
    <w:rsid w:val="0077743D"/>
    <w:rsid w:val="00777518"/>
    <w:rsid w:val="007777AC"/>
    <w:rsid w:val="00777892"/>
    <w:rsid w:val="00777AF2"/>
    <w:rsid w:val="00777CF7"/>
    <w:rsid w:val="00777E73"/>
    <w:rsid w:val="00777E91"/>
    <w:rsid w:val="00777F1B"/>
    <w:rsid w:val="00780487"/>
    <w:rsid w:val="007804FE"/>
    <w:rsid w:val="0078054C"/>
    <w:rsid w:val="00780889"/>
    <w:rsid w:val="00780B22"/>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AAC"/>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7AD"/>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C7F"/>
    <w:rsid w:val="00797DD7"/>
    <w:rsid w:val="00797E30"/>
    <w:rsid w:val="00797FC7"/>
    <w:rsid w:val="007A0303"/>
    <w:rsid w:val="007A0337"/>
    <w:rsid w:val="007A05CF"/>
    <w:rsid w:val="007A0664"/>
    <w:rsid w:val="007A0F76"/>
    <w:rsid w:val="007A111A"/>
    <w:rsid w:val="007A15A9"/>
    <w:rsid w:val="007A169F"/>
    <w:rsid w:val="007A1821"/>
    <w:rsid w:val="007A183D"/>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5F6F"/>
    <w:rsid w:val="007A62F5"/>
    <w:rsid w:val="007A681E"/>
    <w:rsid w:val="007A6AC3"/>
    <w:rsid w:val="007A6BAD"/>
    <w:rsid w:val="007A6BD3"/>
    <w:rsid w:val="007A6E00"/>
    <w:rsid w:val="007A6E89"/>
    <w:rsid w:val="007A6F65"/>
    <w:rsid w:val="007A7019"/>
    <w:rsid w:val="007A71ED"/>
    <w:rsid w:val="007A752E"/>
    <w:rsid w:val="007A765A"/>
    <w:rsid w:val="007A788A"/>
    <w:rsid w:val="007A7A58"/>
    <w:rsid w:val="007A7B3E"/>
    <w:rsid w:val="007A7C69"/>
    <w:rsid w:val="007A7E16"/>
    <w:rsid w:val="007A7EB9"/>
    <w:rsid w:val="007B00A8"/>
    <w:rsid w:val="007B0284"/>
    <w:rsid w:val="007B0317"/>
    <w:rsid w:val="007B05DD"/>
    <w:rsid w:val="007B093D"/>
    <w:rsid w:val="007B0955"/>
    <w:rsid w:val="007B0985"/>
    <w:rsid w:val="007B09CE"/>
    <w:rsid w:val="007B1332"/>
    <w:rsid w:val="007B1546"/>
    <w:rsid w:val="007B1549"/>
    <w:rsid w:val="007B161D"/>
    <w:rsid w:val="007B18E7"/>
    <w:rsid w:val="007B1AA9"/>
    <w:rsid w:val="007B1BF9"/>
    <w:rsid w:val="007B1C07"/>
    <w:rsid w:val="007B20CE"/>
    <w:rsid w:val="007B23D1"/>
    <w:rsid w:val="007B24C2"/>
    <w:rsid w:val="007B26E2"/>
    <w:rsid w:val="007B2874"/>
    <w:rsid w:val="007B28B3"/>
    <w:rsid w:val="007B2F94"/>
    <w:rsid w:val="007B3034"/>
    <w:rsid w:val="007B32C6"/>
    <w:rsid w:val="007B3400"/>
    <w:rsid w:val="007B359C"/>
    <w:rsid w:val="007B37DB"/>
    <w:rsid w:val="007B3C3E"/>
    <w:rsid w:val="007B3F9E"/>
    <w:rsid w:val="007B3FA4"/>
    <w:rsid w:val="007B4161"/>
    <w:rsid w:val="007B43D0"/>
    <w:rsid w:val="007B4508"/>
    <w:rsid w:val="007B4606"/>
    <w:rsid w:val="007B4637"/>
    <w:rsid w:val="007B48A2"/>
    <w:rsid w:val="007B4AD4"/>
    <w:rsid w:val="007B4BEC"/>
    <w:rsid w:val="007B4BF3"/>
    <w:rsid w:val="007B4C7C"/>
    <w:rsid w:val="007B4CBA"/>
    <w:rsid w:val="007B4D9C"/>
    <w:rsid w:val="007B4E21"/>
    <w:rsid w:val="007B4EC6"/>
    <w:rsid w:val="007B50CA"/>
    <w:rsid w:val="007B5217"/>
    <w:rsid w:val="007B531E"/>
    <w:rsid w:val="007B571A"/>
    <w:rsid w:val="007B57B0"/>
    <w:rsid w:val="007B5AB0"/>
    <w:rsid w:val="007B5C1C"/>
    <w:rsid w:val="007B5C1D"/>
    <w:rsid w:val="007B5D73"/>
    <w:rsid w:val="007B5DE1"/>
    <w:rsid w:val="007B5DF8"/>
    <w:rsid w:val="007B610E"/>
    <w:rsid w:val="007B6279"/>
    <w:rsid w:val="007B64C0"/>
    <w:rsid w:val="007B6513"/>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9FA"/>
    <w:rsid w:val="007C0C49"/>
    <w:rsid w:val="007C0DF7"/>
    <w:rsid w:val="007C0E5F"/>
    <w:rsid w:val="007C12F0"/>
    <w:rsid w:val="007C15B9"/>
    <w:rsid w:val="007C16D7"/>
    <w:rsid w:val="007C1A2C"/>
    <w:rsid w:val="007C1BB3"/>
    <w:rsid w:val="007C1C77"/>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20"/>
    <w:rsid w:val="007C4C6F"/>
    <w:rsid w:val="007C4E21"/>
    <w:rsid w:val="007C4E68"/>
    <w:rsid w:val="007C4F63"/>
    <w:rsid w:val="007C4FE0"/>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406"/>
    <w:rsid w:val="007D1507"/>
    <w:rsid w:val="007D15C2"/>
    <w:rsid w:val="007D17E3"/>
    <w:rsid w:val="007D1959"/>
    <w:rsid w:val="007D199C"/>
    <w:rsid w:val="007D1A0A"/>
    <w:rsid w:val="007D1BF4"/>
    <w:rsid w:val="007D1C0F"/>
    <w:rsid w:val="007D1CB8"/>
    <w:rsid w:val="007D1D24"/>
    <w:rsid w:val="007D1DC3"/>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6F03"/>
    <w:rsid w:val="007D757A"/>
    <w:rsid w:val="007D7615"/>
    <w:rsid w:val="007D7778"/>
    <w:rsid w:val="007D7A4D"/>
    <w:rsid w:val="007D7B7C"/>
    <w:rsid w:val="007D7E03"/>
    <w:rsid w:val="007E0045"/>
    <w:rsid w:val="007E0082"/>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3B3"/>
    <w:rsid w:val="007F4AC5"/>
    <w:rsid w:val="007F5805"/>
    <w:rsid w:val="007F59CE"/>
    <w:rsid w:val="007F5C93"/>
    <w:rsid w:val="007F5E23"/>
    <w:rsid w:val="007F6595"/>
    <w:rsid w:val="007F65D2"/>
    <w:rsid w:val="007F677C"/>
    <w:rsid w:val="007F679C"/>
    <w:rsid w:val="007F6AA0"/>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7F7E35"/>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4DA"/>
    <w:rsid w:val="00803819"/>
    <w:rsid w:val="00803EA0"/>
    <w:rsid w:val="00803FE6"/>
    <w:rsid w:val="00803FF2"/>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6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6F8"/>
    <w:rsid w:val="00816793"/>
    <w:rsid w:val="008168F3"/>
    <w:rsid w:val="00817130"/>
    <w:rsid w:val="00817394"/>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9AB"/>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58B"/>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AF"/>
    <w:rsid w:val="008328F0"/>
    <w:rsid w:val="0083298D"/>
    <w:rsid w:val="00832BB1"/>
    <w:rsid w:val="00833161"/>
    <w:rsid w:val="0083317B"/>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687"/>
    <w:rsid w:val="00840845"/>
    <w:rsid w:val="0084099E"/>
    <w:rsid w:val="00840A48"/>
    <w:rsid w:val="00840B60"/>
    <w:rsid w:val="00840E61"/>
    <w:rsid w:val="0084102F"/>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826"/>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1"/>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66D"/>
    <w:rsid w:val="00854B4C"/>
    <w:rsid w:val="00854D46"/>
    <w:rsid w:val="00854E3E"/>
    <w:rsid w:val="00854E52"/>
    <w:rsid w:val="008553AC"/>
    <w:rsid w:val="0085551C"/>
    <w:rsid w:val="008556A7"/>
    <w:rsid w:val="00855885"/>
    <w:rsid w:val="00855B54"/>
    <w:rsid w:val="00855DC1"/>
    <w:rsid w:val="0085629F"/>
    <w:rsid w:val="00856386"/>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C91"/>
    <w:rsid w:val="0086228C"/>
    <w:rsid w:val="0086257C"/>
    <w:rsid w:val="00862815"/>
    <w:rsid w:val="0086281A"/>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EDF"/>
    <w:rsid w:val="00864F98"/>
    <w:rsid w:val="008650AF"/>
    <w:rsid w:val="008655D3"/>
    <w:rsid w:val="0086595D"/>
    <w:rsid w:val="00865B37"/>
    <w:rsid w:val="008667AB"/>
    <w:rsid w:val="008667DD"/>
    <w:rsid w:val="00866999"/>
    <w:rsid w:val="008669B0"/>
    <w:rsid w:val="00866A14"/>
    <w:rsid w:val="00866B35"/>
    <w:rsid w:val="00866EA5"/>
    <w:rsid w:val="008670DB"/>
    <w:rsid w:val="008672B4"/>
    <w:rsid w:val="008678DD"/>
    <w:rsid w:val="00867C69"/>
    <w:rsid w:val="00867D6C"/>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8E"/>
    <w:rsid w:val="00873F97"/>
    <w:rsid w:val="00874021"/>
    <w:rsid w:val="00874059"/>
    <w:rsid w:val="00874B1C"/>
    <w:rsid w:val="00874B77"/>
    <w:rsid w:val="00874E09"/>
    <w:rsid w:val="00874E0B"/>
    <w:rsid w:val="00874EB4"/>
    <w:rsid w:val="00875062"/>
    <w:rsid w:val="0087517A"/>
    <w:rsid w:val="00875508"/>
    <w:rsid w:val="008755F6"/>
    <w:rsid w:val="008756D1"/>
    <w:rsid w:val="008759E5"/>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0FA"/>
    <w:rsid w:val="008831AA"/>
    <w:rsid w:val="008831B2"/>
    <w:rsid w:val="00883210"/>
    <w:rsid w:val="0088352B"/>
    <w:rsid w:val="00883537"/>
    <w:rsid w:val="008835F5"/>
    <w:rsid w:val="00883938"/>
    <w:rsid w:val="008839AA"/>
    <w:rsid w:val="00883A2C"/>
    <w:rsid w:val="00883CF4"/>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442"/>
    <w:rsid w:val="00887576"/>
    <w:rsid w:val="008875AE"/>
    <w:rsid w:val="00887846"/>
    <w:rsid w:val="008878DE"/>
    <w:rsid w:val="0088794C"/>
    <w:rsid w:val="00887FFE"/>
    <w:rsid w:val="0089010B"/>
    <w:rsid w:val="0089041F"/>
    <w:rsid w:val="00890803"/>
    <w:rsid w:val="00890B8E"/>
    <w:rsid w:val="00890CE4"/>
    <w:rsid w:val="00890D61"/>
    <w:rsid w:val="00890EFE"/>
    <w:rsid w:val="0089135C"/>
    <w:rsid w:val="008916D7"/>
    <w:rsid w:val="008916F0"/>
    <w:rsid w:val="008917A4"/>
    <w:rsid w:val="008917BE"/>
    <w:rsid w:val="0089183C"/>
    <w:rsid w:val="00891899"/>
    <w:rsid w:val="008918DB"/>
    <w:rsid w:val="0089198C"/>
    <w:rsid w:val="00891B64"/>
    <w:rsid w:val="00891CA7"/>
    <w:rsid w:val="00891F0C"/>
    <w:rsid w:val="00892217"/>
    <w:rsid w:val="00892475"/>
    <w:rsid w:val="00892553"/>
    <w:rsid w:val="00892828"/>
    <w:rsid w:val="00892AFB"/>
    <w:rsid w:val="00893136"/>
    <w:rsid w:val="008934E1"/>
    <w:rsid w:val="008935B8"/>
    <w:rsid w:val="00893F14"/>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5F0E"/>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0C6"/>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52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68"/>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D12"/>
    <w:rsid w:val="008B7E61"/>
    <w:rsid w:val="008C0169"/>
    <w:rsid w:val="008C039C"/>
    <w:rsid w:val="008C03D0"/>
    <w:rsid w:val="008C0505"/>
    <w:rsid w:val="008C0537"/>
    <w:rsid w:val="008C0AC1"/>
    <w:rsid w:val="008C0F62"/>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725"/>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8E3"/>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91C"/>
    <w:rsid w:val="008C7A35"/>
    <w:rsid w:val="008C7A36"/>
    <w:rsid w:val="008C7A3E"/>
    <w:rsid w:val="008C7ADE"/>
    <w:rsid w:val="008C7CF5"/>
    <w:rsid w:val="008C7D10"/>
    <w:rsid w:val="008D01D3"/>
    <w:rsid w:val="008D02B4"/>
    <w:rsid w:val="008D02F0"/>
    <w:rsid w:val="008D0564"/>
    <w:rsid w:val="008D05CD"/>
    <w:rsid w:val="008D0711"/>
    <w:rsid w:val="008D0E6D"/>
    <w:rsid w:val="008D0ED2"/>
    <w:rsid w:val="008D144B"/>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349"/>
    <w:rsid w:val="008D48DA"/>
    <w:rsid w:val="008D4902"/>
    <w:rsid w:val="008D4979"/>
    <w:rsid w:val="008D4B2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6C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6A9"/>
    <w:rsid w:val="008E3799"/>
    <w:rsid w:val="008E37FD"/>
    <w:rsid w:val="008E3B9F"/>
    <w:rsid w:val="008E406C"/>
    <w:rsid w:val="008E41D0"/>
    <w:rsid w:val="008E4454"/>
    <w:rsid w:val="008E4685"/>
    <w:rsid w:val="008E47E0"/>
    <w:rsid w:val="008E480D"/>
    <w:rsid w:val="008E481D"/>
    <w:rsid w:val="008E48DE"/>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3F"/>
    <w:rsid w:val="008E7E65"/>
    <w:rsid w:val="008F0093"/>
    <w:rsid w:val="008F04FE"/>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3B"/>
    <w:rsid w:val="008F2598"/>
    <w:rsid w:val="008F2825"/>
    <w:rsid w:val="008F2D16"/>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BF"/>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49F"/>
    <w:rsid w:val="008F750B"/>
    <w:rsid w:val="008F773E"/>
    <w:rsid w:val="008F7CA6"/>
    <w:rsid w:val="00900167"/>
    <w:rsid w:val="0090019B"/>
    <w:rsid w:val="00900365"/>
    <w:rsid w:val="009004E9"/>
    <w:rsid w:val="00900654"/>
    <w:rsid w:val="009008DA"/>
    <w:rsid w:val="00900E73"/>
    <w:rsid w:val="00900F4F"/>
    <w:rsid w:val="009013FD"/>
    <w:rsid w:val="009015A9"/>
    <w:rsid w:val="00901798"/>
    <w:rsid w:val="00901A6B"/>
    <w:rsid w:val="00901BD5"/>
    <w:rsid w:val="00901E84"/>
    <w:rsid w:val="00901FD8"/>
    <w:rsid w:val="009020DD"/>
    <w:rsid w:val="0090269D"/>
    <w:rsid w:val="009028AE"/>
    <w:rsid w:val="00902A07"/>
    <w:rsid w:val="00902F34"/>
    <w:rsid w:val="00903024"/>
    <w:rsid w:val="009034FC"/>
    <w:rsid w:val="0090375A"/>
    <w:rsid w:val="00903A8D"/>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C76"/>
    <w:rsid w:val="00910D65"/>
    <w:rsid w:val="00911084"/>
    <w:rsid w:val="0091110D"/>
    <w:rsid w:val="00911141"/>
    <w:rsid w:val="00911175"/>
    <w:rsid w:val="009112C6"/>
    <w:rsid w:val="009117E9"/>
    <w:rsid w:val="00911908"/>
    <w:rsid w:val="00911CC6"/>
    <w:rsid w:val="00911DBF"/>
    <w:rsid w:val="00911E3A"/>
    <w:rsid w:val="009124B5"/>
    <w:rsid w:val="009125B8"/>
    <w:rsid w:val="00912994"/>
    <w:rsid w:val="009129C0"/>
    <w:rsid w:val="00912A08"/>
    <w:rsid w:val="00912AC2"/>
    <w:rsid w:val="00912AE5"/>
    <w:rsid w:val="00912B84"/>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0F"/>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72"/>
    <w:rsid w:val="00920489"/>
    <w:rsid w:val="009204EB"/>
    <w:rsid w:val="009206F5"/>
    <w:rsid w:val="00920941"/>
    <w:rsid w:val="00920B2E"/>
    <w:rsid w:val="00920B6C"/>
    <w:rsid w:val="00921012"/>
    <w:rsid w:val="00921550"/>
    <w:rsid w:val="00921574"/>
    <w:rsid w:val="00921602"/>
    <w:rsid w:val="009218C1"/>
    <w:rsid w:val="009218C8"/>
    <w:rsid w:val="009219C9"/>
    <w:rsid w:val="00921BD1"/>
    <w:rsid w:val="00921C06"/>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3BDD"/>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43"/>
    <w:rsid w:val="009325E4"/>
    <w:rsid w:val="00932BC5"/>
    <w:rsid w:val="00932D45"/>
    <w:rsid w:val="00932FE8"/>
    <w:rsid w:val="009331F6"/>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780"/>
    <w:rsid w:val="00935C9F"/>
    <w:rsid w:val="00935D65"/>
    <w:rsid w:val="00935DC8"/>
    <w:rsid w:val="00935E01"/>
    <w:rsid w:val="00935FE2"/>
    <w:rsid w:val="009361D7"/>
    <w:rsid w:val="00936208"/>
    <w:rsid w:val="00936771"/>
    <w:rsid w:val="00936C68"/>
    <w:rsid w:val="00936D52"/>
    <w:rsid w:val="00937087"/>
    <w:rsid w:val="009370FA"/>
    <w:rsid w:val="009373FC"/>
    <w:rsid w:val="00937506"/>
    <w:rsid w:val="0093757F"/>
    <w:rsid w:val="009375E1"/>
    <w:rsid w:val="00937699"/>
    <w:rsid w:val="0093799F"/>
    <w:rsid w:val="009379DA"/>
    <w:rsid w:val="0094053E"/>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7B0"/>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0E2"/>
    <w:rsid w:val="0094614B"/>
    <w:rsid w:val="009461DD"/>
    <w:rsid w:val="00946431"/>
    <w:rsid w:val="00946669"/>
    <w:rsid w:val="009466C5"/>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485"/>
    <w:rsid w:val="00951525"/>
    <w:rsid w:val="00951666"/>
    <w:rsid w:val="00951FDB"/>
    <w:rsid w:val="00952047"/>
    <w:rsid w:val="00952126"/>
    <w:rsid w:val="009521BC"/>
    <w:rsid w:val="009521F3"/>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5DF"/>
    <w:rsid w:val="00954629"/>
    <w:rsid w:val="00954790"/>
    <w:rsid w:val="00954820"/>
    <w:rsid w:val="00954ACC"/>
    <w:rsid w:val="00954C32"/>
    <w:rsid w:val="00954C47"/>
    <w:rsid w:val="00954DEE"/>
    <w:rsid w:val="00955396"/>
    <w:rsid w:val="009553CF"/>
    <w:rsid w:val="00955461"/>
    <w:rsid w:val="00955504"/>
    <w:rsid w:val="009555CE"/>
    <w:rsid w:val="0095569A"/>
    <w:rsid w:val="009558DB"/>
    <w:rsid w:val="0095596A"/>
    <w:rsid w:val="009559DE"/>
    <w:rsid w:val="00955EF3"/>
    <w:rsid w:val="00956266"/>
    <w:rsid w:val="009562BB"/>
    <w:rsid w:val="009563CF"/>
    <w:rsid w:val="009568D9"/>
    <w:rsid w:val="00956907"/>
    <w:rsid w:val="00956910"/>
    <w:rsid w:val="00956C10"/>
    <w:rsid w:val="00956F4A"/>
    <w:rsid w:val="009572A1"/>
    <w:rsid w:val="009572F9"/>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0F9"/>
    <w:rsid w:val="00964355"/>
    <w:rsid w:val="00964400"/>
    <w:rsid w:val="009647F3"/>
    <w:rsid w:val="00964B17"/>
    <w:rsid w:val="00964CFF"/>
    <w:rsid w:val="00964F7B"/>
    <w:rsid w:val="00965230"/>
    <w:rsid w:val="00965324"/>
    <w:rsid w:val="00965617"/>
    <w:rsid w:val="00965953"/>
    <w:rsid w:val="00965B24"/>
    <w:rsid w:val="00965BD6"/>
    <w:rsid w:val="009660A3"/>
    <w:rsid w:val="009660D2"/>
    <w:rsid w:val="00966377"/>
    <w:rsid w:val="009666EF"/>
    <w:rsid w:val="009666F0"/>
    <w:rsid w:val="00966798"/>
    <w:rsid w:val="00966A1B"/>
    <w:rsid w:val="00966AC3"/>
    <w:rsid w:val="00966D19"/>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2C8C"/>
    <w:rsid w:val="009732C3"/>
    <w:rsid w:val="009732EA"/>
    <w:rsid w:val="009733AA"/>
    <w:rsid w:val="00973607"/>
    <w:rsid w:val="00973612"/>
    <w:rsid w:val="00973671"/>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3A"/>
    <w:rsid w:val="009766BC"/>
    <w:rsid w:val="00976914"/>
    <w:rsid w:val="00976D69"/>
    <w:rsid w:val="00976DFF"/>
    <w:rsid w:val="00976EA2"/>
    <w:rsid w:val="00976F5B"/>
    <w:rsid w:val="00976FEF"/>
    <w:rsid w:val="00977391"/>
    <w:rsid w:val="00977403"/>
    <w:rsid w:val="009778A7"/>
    <w:rsid w:val="00977AFE"/>
    <w:rsid w:val="00977CD8"/>
    <w:rsid w:val="00977D94"/>
    <w:rsid w:val="00977F80"/>
    <w:rsid w:val="009802B0"/>
    <w:rsid w:val="009802EE"/>
    <w:rsid w:val="0098060B"/>
    <w:rsid w:val="009806E9"/>
    <w:rsid w:val="0098097E"/>
    <w:rsid w:val="00980BA4"/>
    <w:rsid w:val="00980E75"/>
    <w:rsid w:val="0098107F"/>
    <w:rsid w:val="009811B1"/>
    <w:rsid w:val="00981273"/>
    <w:rsid w:val="0098132D"/>
    <w:rsid w:val="0098163A"/>
    <w:rsid w:val="00981680"/>
    <w:rsid w:val="00981CA2"/>
    <w:rsid w:val="0098205B"/>
    <w:rsid w:val="00982109"/>
    <w:rsid w:val="00982137"/>
    <w:rsid w:val="009828C8"/>
    <w:rsid w:val="00982AD5"/>
    <w:rsid w:val="00982EB9"/>
    <w:rsid w:val="009835FC"/>
    <w:rsid w:val="00983958"/>
    <w:rsid w:val="00984484"/>
    <w:rsid w:val="009844D7"/>
    <w:rsid w:val="0098455E"/>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57C"/>
    <w:rsid w:val="00987A4A"/>
    <w:rsid w:val="009906F6"/>
    <w:rsid w:val="0099089D"/>
    <w:rsid w:val="009908A7"/>
    <w:rsid w:val="0099098A"/>
    <w:rsid w:val="00990D30"/>
    <w:rsid w:val="00990F72"/>
    <w:rsid w:val="00991141"/>
    <w:rsid w:val="0099142E"/>
    <w:rsid w:val="00991634"/>
    <w:rsid w:val="0099173A"/>
    <w:rsid w:val="0099175F"/>
    <w:rsid w:val="009918BA"/>
    <w:rsid w:val="00991B29"/>
    <w:rsid w:val="00991BC1"/>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534"/>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A1F"/>
    <w:rsid w:val="00997BD1"/>
    <w:rsid w:val="00997D3B"/>
    <w:rsid w:val="00997DBD"/>
    <w:rsid w:val="00997E3D"/>
    <w:rsid w:val="00997FC2"/>
    <w:rsid w:val="009A0572"/>
    <w:rsid w:val="009A078C"/>
    <w:rsid w:val="009A0940"/>
    <w:rsid w:val="009A0F51"/>
    <w:rsid w:val="009A1240"/>
    <w:rsid w:val="009A13AD"/>
    <w:rsid w:val="009A193C"/>
    <w:rsid w:val="009A209D"/>
    <w:rsid w:val="009A2116"/>
    <w:rsid w:val="009A22B7"/>
    <w:rsid w:val="009A232F"/>
    <w:rsid w:val="009A240F"/>
    <w:rsid w:val="009A3182"/>
    <w:rsid w:val="009A3292"/>
    <w:rsid w:val="009A32EC"/>
    <w:rsid w:val="009A3546"/>
    <w:rsid w:val="009A3C59"/>
    <w:rsid w:val="009A408C"/>
    <w:rsid w:val="009A4105"/>
    <w:rsid w:val="009A4307"/>
    <w:rsid w:val="009A43B9"/>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6F7A"/>
    <w:rsid w:val="009A706B"/>
    <w:rsid w:val="009A742C"/>
    <w:rsid w:val="009A7473"/>
    <w:rsid w:val="009A7497"/>
    <w:rsid w:val="009A74B8"/>
    <w:rsid w:val="009A75A3"/>
    <w:rsid w:val="009A7706"/>
    <w:rsid w:val="009A78CF"/>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4D23"/>
    <w:rsid w:val="009B502B"/>
    <w:rsid w:val="009B52B7"/>
    <w:rsid w:val="009B5738"/>
    <w:rsid w:val="009B579E"/>
    <w:rsid w:val="009B59DA"/>
    <w:rsid w:val="009B5AC8"/>
    <w:rsid w:val="009B5ACF"/>
    <w:rsid w:val="009B5B80"/>
    <w:rsid w:val="009B5D35"/>
    <w:rsid w:val="009B5DF6"/>
    <w:rsid w:val="009B6050"/>
    <w:rsid w:val="009B6729"/>
    <w:rsid w:val="009B6CCC"/>
    <w:rsid w:val="009B6EA5"/>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3F5A"/>
    <w:rsid w:val="009C4091"/>
    <w:rsid w:val="009C4200"/>
    <w:rsid w:val="009C4E0E"/>
    <w:rsid w:val="009C4E33"/>
    <w:rsid w:val="009C4E6E"/>
    <w:rsid w:val="009C4FD9"/>
    <w:rsid w:val="009C5497"/>
    <w:rsid w:val="009C564D"/>
    <w:rsid w:val="009C56AE"/>
    <w:rsid w:val="009C58A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6E"/>
    <w:rsid w:val="009D04FF"/>
    <w:rsid w:val="009D0564"/>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98B"/>
    <w:rsid w:val="009D3FE5"/>
    <w:rsid w:val="009D471B"/>
    <w:rsid w:val="009D48DF"/>
    <w:rsid w:val="009D4E28"/>
    <w:rsid w:val="009D4F80"/>
    <w:rsid w:val="009D505B"/>
    <w:rsid w:val="009D506E"/>
    <w:rsid w:val="009D5612"/>
    <w:rsid w:val="009D5A36"/>
    <w:rsid w:val="009D5EC1"/>
    <w:rsid w:val="009D6052"/>
    <w:rsid w:val="009D60F9"/>
    <w:rsid w:val="009D61BD"/>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1ED"/>
    <w:rsid w:val="009E3590"/>
    <w:rsid w:val="009E36BC"/>
    <w:rsid w:val="009E3936"/>
    <w:rsid w:val="009E3D78"/>
    <w:rsid w:val="009E3E5E"/>
    <w:rsid w:val="009E45EA"/>
    <w:rsid w:val="009E4A2D"/>
    <w:rsid w:val="009E50C1"/>
    <w:rsid w:val="009E51DE"/>
    <w:rsid w:val="009E5369"/>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4B8"/>
    <w:rsid w:val="009F1722"/>
    <w:rsid w:val="009F175F"/>
    <w:rsid w:val="009F17CF"/>
    <w:rsid w:val="009F18BA"/>
    <w:rsid w:val="009F1C04"/>
    <w:rsid w:val="009F1CBB"/>
    <w:rsid w:val="009F1FA8"/>
    <w:rsid w:val="009F22BA"/>
    <w:rsid w:val="009F2472"/>
    <w:rsid w:val="009F25A0"/>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439"/>
    <w:rsid w:val="00A015B5"/>
    <w:rsid w:val="00A0163A"/>
    <w:rsid w:val="00A0177E"/>
    <w:rsid w:val="00A0186F"/>
    <w:rsid w:val="00A01F41"/>
    <w:rsid w:val="00A01F71"/>
    <w:rsid w:val="00A023F5"/>
    <w:rsid w:val="00A024B7"/>
    <w:rsid w:val="00A0267E"/>
    <w:rsid w:val="00A02982"/>
    <w:rsid w:val="00A02A9F"/>
    <w:rsid w:val="00A02BED"/>
    <w:rsid w:val="00A02FE1"/>
    <w:rsid w:val="00A031C0"/>
    <w:rsid w:val="00A031CD"/>
    <w:rsid w:val="00A033E3"/>
    <w:rsid w:val="00A03638"/>
    <w:rsid w:val="00A0381C"/>
    <w:rsid w:val="00A03867"/>
    <w:rsid w:val="00A038E9"/>
    <w:rsid w:val="00A03A7D"/>
    <w:rsid w:val="00A03B27"/>
    <w:rsid w:val="00A03CEC"/>
    <w:rsid w:val="00A03F6F"/>
    <w:rsid w:val="00A04207"/>
    <w:rsid w:val="00A04509"/>
    <w:rsid w:val="00A045B3"/>
    <w:rsid w:val="00A04B96"/>
    <w:rsid w:val="00A04E73"/>
    <w:rsid w:val="00A04EDC"/>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07C10"/>
    <w:rsid w:val="00A100C9"/>
    <w:rsid w:val="00A10124"/>
    <w:rsid w:val="00A10416"/>
    <w:rsid w:val="00A1076C"/>
    <w:rsid w:val="00A108EA"/>
    <w:rsid w:val="00A10D37"/>
    <w:rsid w:val="00A10FC7"/>
    <w:rsid w:val="00A11084"/>
    <w:rsid w:val="00A112A9"/>
    <w:rsid w:val="00A112CC"/>
    <w:rsid w:val="00A112E5"/>
    <w:rsid w:val="00A11456"/>
    <w:rsid w:val="00A1146F"/>
    <w:rsid w:val="00A11535"/>
    <w:rsid w:val="00A1156D"/>
    <w:rsid w:val="00A11BE6"/>
    <w:rsid w:val="00A12034"/>
    <w:rsid w:val="00A12736"/>
    <w:rsid w:val="00A1275E"/>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2FAD"/>
    <w:rsid w:val="00A236CB"/>
    <w:rsid w:val="00A23A6A"/>
    <w:rsid w:val="00A23B91"/>
    <w:rsid w:val="00A24150"/>
    <w:rsid w:val="00A244CC"/>
    <w:rsid w:val="00A24696"/>
    <w:rsid w:val="00A247A6"/>
    <w:rsid w:val="00A24929"/>
    <w:rsid w:val="00A254A2"/>
    <w:rsid w:val="00A254CA"/>
    <w:rsid w:val="00A254DE"/>
    <w:rsid w:val="00A256DD"/>
    <w:rsid w:val="00A256F9"/>
    <w:rsid w:val="00A257B7"/>
    <w:rsid w:val="00A25A7B"/>
    <w:rsid w:val="00A25B96"/>
    <w:rsid w:val="00A25E77"/>
    <w:rsid w:val="00A25EF7"/>
    <w:rsid w:val="00A2614E"/>
    <w:rsid w:val="00A2674D"/>
    <w:rsid w:val="00A2679F"/>
    <w:rsid w:val="00A26800"/>
    <w:rsid w:val="00A269FC"/>
    <w:rsid w:val="00A26C9E"/>
    <w:rsid w:val="00A26CDE"/>
    <w:rsid w:val="00A26F9D"/>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5F7"/>
    <w:rsid w:val="00A31658"/>
    <w:rsid w:val="00A316C0"/>
    <w:rsid w:val="00A31ACE"/>
    <w:rsid w:val="00A31AF1"/>
    <w:rsid w:val="00A31DED"/>
    <w:rsid w:val="00A31E5C"/>
    <w:rsid w:val="00A31E9B"/>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610"/>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469"/>
    <w:rsid w:val="00A407B8"/>
    <w:rsid w:val="00A408CE"/>
    <w:rsid w:val="00A408DE"/>
    <w:rsid w:val="00A408F6"/>
    <w:rsid w:val="00A40C20"/>
    <w:rsid w:val="00A40CFF"/>
    <w:rsid w:val="00A4107E"/>
    <w:rsid w:val="00A41153"/>
    <w:rsid w:val="00A416A1"/>
    <w:rsid w:val="00A41718"/>
    <w:rsid w:val="00A42031"/>
    <w:rsid w:val="00A420DE"/>
    <w:rsid w:val="00A4214F"/>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AD5"/>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DA"/>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7E"/>
    <w:rsid w:val="00A553D3"/>
    <w:rsid w:val="00A55549"/>
    <w:rsid w:val="00A55569"/>
    <w:rsid w:val="00A55585"/>
    <w:rsid w:val="00A55634"/>
    <w:rsid w:val="00A55913"/>
    <w:rsid w:val="00A55C47"/>
    <w:rsid w:val="00A55D54"/>
    <w:rsid w:val="00A561BE"/>
    <w:rsid w:val="00A5628E"/>
    <w:rsid w:val="00A56371"/>
    <w:rsid w:val="00A567E9"/>
    <w:rsid w:val="00A56822"/>
    <w:rsid w:val="00A56A8B"/>
    <w:rsid w:val="00A56CF2"/>
    <w:rsid w:val="00A571B3"/>
    <w:rsid w:val="00A5746B"/>
    <w:rsid w:val="00A57B85"/>
    <w:rsid w:val="00A57BD8"/>
    <w:rsid w:val="00A57F03"/>
    <w:rsid w:val="00A57F3F"/>
    <w:rsid w:val="00A60089"/>
    <w:rsid w:val="00A607A8"/>
    <w:rsid w:val="00A60AA8"/>
    <w:rsid w:val="00A61306"/>
    <w:rsid w:val="00A614E0"/>
    <w:rsid w:val="00A61838"/>
    <w:rsid w:val="00A618E2"/>
    <w:rsid w:val="00A61952"/>
    <w:rsid w:val="00A61A20"/>
    <w:rsid w:val="00A61F7B"/>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802"/>
    <w:rsid w:val="00A66973"/>
    <w:rsid w:val="00A66AB6"/>
    <w:rsid w:val="00A66C40"/>
    <w:rsid w:val="00A670A2"/>
    <w:rsid w:val="00A670D6"/>
    <w:rsid w:val="00A671C1"/>
    <w:rsid w:val="00A671DF"/>
    <w:rsid w:val="00A672AA"/>
    <w:rsid w:val="00A6730A"/>
    <w:rsid w:val="00A67503"/>
    <w:rsid w:val="00A679A6"/>
    <w:rsid w:val="00A679D5"/>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0D2"/>
    <w:rsid w:val="00A730FF"/>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686"/>
    <w:rsid w:val="00A766F7"/>
    <w:rsid w:val="00A76A03"/>
    <w:rsid w:val="00A76CB3"/>
    <w:rsid w:val="00A76ED2"/>
    <w:rsid w:val="00A76EF5"/>
    <w:rsid w:val="00A77205"/>
    <w:rsid w:val="00A7733B"/>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858"/>
    <w:rsid w:val="00A81B5C"/>
    <w:rsid w:val="00A81BFA"/>
    <w:rsid w:val="00A81F50"/>
    <w:rsid w:val="00A81FD0"/>
    <w:rsid w:val="00A8200A"/>
    <w:rsid w:val="00A82049"/>
    <w:rsid w:val="00A826B0"/>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49"/>
    <w:rsid w:val="00A87894"/>
    <w:rsid w:val="00A87A71"/>
    <w:rsid w:val="00A87BD5"/>
    <w:rsid w:val="00A87F9E"/>
    <w:rsid w:val="00A9002D"/>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5E"/>
    <w:rsid w:val="00A93FBC"/>
    <w:rsid w:val="00A93FE4"/>
    <w:rsid w:val="00A941BA"/>
    <w:rsid w:val="00A944D4"/>
    <w:rsid w:val="00A94BEE"/>
    <w:rsid w:val="00A95097"/>
    <w:rsid w:val="00A95227"/>
    <w:rsid w:val="00A952BF"/>
    <w:rsid w:val="00A952D9"/>
    <w:rsid w:val="00A953FD"/>
    <w:rsid w:val="00A95794"/>
    <w:rsid w:val="00A95B72"/>
    <w:rsid w:val="00A95B97"/>
    <w:rsid w:val="00A95BD2"/>
    <w:rsid w:val="00A9602C"/>
    <w:rsid w:val="00A961CD"/>
    <w:rsid w:val="00A96320"/>
    <w:rsid w:val="00A966EF"/>
    <w:rsid w:val="00A96E78"/>
    <w:rsid w:val="00A96EF4"/>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950"/>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5EA3"/>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39F"/>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035"/>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901"/>
    <w:rsid w:val="00AC2D1E"/>
    <w:rsid w:val="00AC2DCD"/>
    <w:rsid w:val="00AC318F"/>
    <w:rsid w:val="00AC342D"/>
    <w:rsid w:val="00AC347A"/>
    <w:rsid w:val="00AC3C6B"/>
    <w:rsid w:val="00AC3CBA"/>
    <w:rsid w:val="00AC3CCD"/>
    <w:rsid w:val="00AC3F74"/>
    <w:rsid w:val="00AC4153"/>
    <w:rsid w:val="00AC4311"/>
    <w:rsid w:val="00AC4491"/>
    <w:rsid w:val="00AC4653"/>
    <w:rsid w:val="00AC4BE7"/>
    <w:rsid w:val="00AC4D6C"/>
    <w:rsid w:val="00AC5356"/>
    <w:rsid w:val="00AC5367"/>
    <w:rsid w:val="00AC53D3"/>
    <w:rsid w:val="00AC5741"/>
    <w:rsid w:val="00AC5818"/>
    <w:rsid w:val="00AC59C0"/>
    <w:rsid w:val="00AC5CF4"/>
    <w:rsid w:val="00AC5E16"/>
    <w:rsid w:val="00AC67C1"/>
    <w:rsid w:val="00AC69A6"/>
    <w:rsid w:val="00AC6DD5"/>
    <w:rsid w:val="00AC6E02"/>
    <w:rsid w:val="00AC6E54"/>
    <w:rsid w:val="00AC6EA4"/>
    <w:rsid w:val="00AC70B8"/>
    <w:rsid w:val="00AC712E"/>
    <w:rsid w:val="00AC73B4"/>
    <w:rsid w:val="00AC73BB"/>
    <w:rsid w:val="00AC749D"/>
    <w:rsid w:val="00AC7677"/>
    <w:rsid w:val="00AC7695"/>
    <w:rsid w:val="00AC7803"/>
    <w:rsid w:val="00AC7942"/>
    <w:rsid w:val="00AC7B06"/>
    <w:rsid w:val="00AD008E"/>
    <w:rsid w:val="00AD01E3"/>
    <w:rsid w:val="00AD04D2"/>
    <w:rsid w:val="00AD0543"/>
    <w:rsid w:val="00AD0589"/>
    <w:rsid w:val="00AD0642"/>
    <w:rsid w:val="00AD094E"/>
    <w:rsid w:val="00AD0C50"/>
    <w:rsid w:val="00AD0CF0"/>
    <w:rsid w:val="00AD0CF4"/>
    <w:rsid w:val="00AD0E0D"/>
    <w:rsid w:val="00AD0E10"/>
    <w:rsid w:val="00AD1156"/>
    <w:rsid w:val="00AD1354"/>
    <w:rsid w:val="00AD15D1"/>
    <w:rsid w:val="00AD1783"/>
    <w:rsid w:val="00AD195C"/>
    <w:rsid w:val="00AD2264"/>
    <w:rsid w:val="00AD28B0"/>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BC4"/>
    <w:rsid w:val="00AD6CBF"/>
    <w:rsid w:val="00AD7450"/>
    <w:rsid w:val="00AD75CB"/>
    <w:rsid w:val="00AD7988"/>
    <w:rsid w:val="00AD7AD4"/>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C2F"/>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8"/>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0BA"/>
    <w:rsid w:val="00AF04D7"/>
    <w:rsid w:val="00AF05B1"/>
    <w:rsid w:val="00AF0CF6"/>
    <w:rsid w:val="00AF0D9C"/>
    <w:rsid w:val="00AF10FE"/>
    <w:rsid w:val="00AF1384"/>
    <w:rsid w:val="00AF15DD"/>
    <w:rsid w:val="00AF1660"/>
    <w:rsid w:val="00AF1689"/>
    <w:rsid w:val="00AF199D"/>
    <w:rsid w:val="00AF1C7C"/>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38"/>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FE"/>
    <w:rsid w:val="00B06FED"/>
    <w:rsid w:val="00B0703E"/>
    <w:rsid w:val="00B072FD"/>
    <w:rsid w:val="00B07357"/>
    <w:rsid w:val="00B077AD"/>
    <w:rsid w:val="00B0785E"/>
    <w:rsid w:val="00B078D6"/>
    <w:rsid w:val="00B07932"/>
    <w:rsid w:val="00B07AC8"/>
    <w:rsid w:val="00B07AEB"/>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DB5"/>
    <w:rsid w:val="00B21E74"/>
    <w:rsid w:val="00B21F27"/>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8ED"/>
    <w:rsid w:val="00B30DFD"/>
    <w:rsid w:val="00B30E90"/>
    <w:rsid w:val="00B30EAE"/>
    <w:rsid w:val="00B30EFE"/>
    <w:rsid w:val="00B313E6"/>
    <w:rsid w:val="00B31680"/>
    <w:rsid w:val="00B31747"/>
    <w:rsid w:val="00B31B8E"/>
    <w:rsid w:val="00B31C8B"/>
    <w:rsid w:val="00B31EB2"/>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4BD"/>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85B"/>
    <w:rsid w:val="00B40997"/>
    <w:rsid w:val="00B409AB"/>
    <w:rsid w:val="00B41045"/>
    <w:rsid w:val="00B41259"/>
    <w:rsid w:val="00B41295"/>
    <w:rsid w:val="00B41299"/>
    <w:rsid w:val="00B41849"/>
    <w:rsid w:val="00B41A3F"/>
    <w:rsid w:val="00B41B87"/>
    <w:rsid w:val="00B41DBD"/>
    <w:rsid w:val="00B41E11"/>
    <w:rsid w:val="00B41F4D"/>
    <w:rsid w:val="00B42129"/>
    <w:rsid w:val="00B421D3"/>
    <w:rsid w:val="00B424AC"/>
    <w:rsid w:val="00B42633"/>
    <w:rsid w:val="00B42EB2"/>
    <w:rsid w:val="00B42EC1"/>
    <w:rsid w:val="00B42EED"/>
    <w:rsid w:val="00B430A7"/>
    <w:rsid w:val="00B4317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82B"/>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380"/>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5F7"/>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8BC"/>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1F8D"/>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729"/>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2DD"/>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55D"/>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2CC"/>
    <w:rsid w:val="00BA0316"/>
    <w:rsid w:val="00BA059E"/>
    <w:rsid w:val="00BA0603"/>
    <w:rsid w:val="00BA073C"/>
    <w:rsid w:val="00BA086F"/>
    <w:rsid w:val="00BA0A0B"/>
    <w:rsid w:val="00BA0BDE"/>
    <w:rsid w:val="00BA0BE2"/>
    <w:rsid w:val="00BA0E23"/>
    <w:rsid w:val="00BA0E45"/>
    <w:rsid w:val="00BA0F24"/>
    <w:rsid w:val="00BA1057"/>
    <w:rsid w:val="00BA1075"/>
    <w:rsid w:val="00BA1434"/>
    <w:rsid w:val="00BA166E"/>
    <w:rsid w:val="00BA1E4B"/>
    <w:rsid w:val="00BA20BE"/>
    <w:rsid w:val="00BA20FD"/>
    <w:rsid w:val="00BA27D4"/>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0D9D"/>
    <w:rsid w:val="00BB105B"/>
    <w:rsid w:val="00BB1291"/>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469"/>
    <w:rsid w:val="00BB5516"/>
    <w:rsid w:val="00BB5526"/>
    <w:rsid w:val="00BB5714"/>
    <w:rsid w:val="00BB57F8"/>
    <w:rsid w:val="00BB5835"/>
    <w:rsid w:val="00BB5843"/>
    <w:rsid w:val="00BB6066"/>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31A"/>
    <w:rsid w:val="00BC0591"/>
    <w:rsid w:val="00BC065D"/>
    <w:rsid w:val="00BC0914"/>
    <w:rsid w:val="00BC0A00"/>
    <w:rsid w:val="00BC0C46"/>
    <w:rsid w:val="00BC0C7D"/>
    <w:rsid w:val="00BC0D79"/>
    <w:rsid w:val="00BC0E7F"/>
    <w:rsid w:val="00BC13DE"/>
    <w:rsid w:val="00BC16FD"/>
    <w:rsid w:val="00BC171D"/>
    <w:rsid w:val="00BC1C66"/>
    <w:rsid w:val="00BC1C7F"/>
    <w:rsid w:val="00BC1EC9"/>
    <w:rsid w:val="00BC1F3F"/>
    <w:rsid w:val="00BC2880"/>
    <w:rsid w:val="00BC2C07"/>
    <w:rsid w:val="00BC2C1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046"/>
    <w:rsid w:val="00BC5705"/>
    <w:rsid w:val="00BC579B"/>
    <w:rsid w:val="00BC57AF"/>
    <w:rsid w:val="00BC5AF9"/>
    <w:rsid w:val="00BC5BCA"/>
    <w:rsid w:val="00BC5C81"/>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0C2A"/>
    <w:rsid w:val="00BD18E7"/>
    <w:rsid w:val="00BD1F29"/>
    <w:rsid w:val="00BD225C"/>
    <w:rsid w:val="00BD23BC"/>
    <w:rsid w:val="00BD243B"/>
    <w:rsid w:val="00BD26AA"/>
    <w:rsid w:val="00BD282A"/>
    <w:rsid w:val="00BD2BE2"/>
    <w:rsid w:val="00BD3299"/>
    <w:rsid w:val="00BD32DF"/>
    <w:rsid w:val="00BD331E"/>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01"/>
    <w:rsid w:val="00BD6284"/>
    <w:rsid w:val="00BD637C"/>
    <w:rsid w:val="00BD6AF3"/>
    <w:rsid w:val="00BD7587"/>
    <w:rsid w:val="00BD7983"/>
    <w:rsid w:val="00BD7AD5"/>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5F4C"/>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07F"/>
    <w:rsid w:val="00BF024F"/>
    <w:rsid w:val="00BF032A"/>
    <w:rsid w:val="00BF0498"/>
    <w:rsid w:val="00BF0571"/>
    <w:rsid w:val="00BF05B2"/>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6D6"/>
    <w:rsid w:val="00BF5953"/>
    <w:rsid w:val="00BF598E"/>
    <w:rsid w:val="00BF5FA1"/>
    <w:rsid w:val="00BF61E7"/>
    <w:rsid w:val="00BF626E"/>
    <w:rsid w:val="00BF688C"/>
    <w:rsid w:val="00BF6CC5"/>
    <w:rsid w:val="00BF6E8C"/>
    <w:rsid w:val="00BF6EE7"/>
    <w:rsid w:val="00BF7229"/>
    <w:rsid w:val="00BF799A"/>
    <w:rsid w:val="00BF7DBA"/>
    <w:rsid w:val="00BF7ECA"/>
    <w:rsid w:val="00C001A2"/>
    <w:rsid w:val="00C002F3"/>
    <w:rsid w:val="00C00370"/>
    <w:rsid w:val="00C004AC"/>
    <w:rsid w:val="00C007AD"/>
    <w:rsid w:val="00C00DA3"/>
    <w:rsid w:val="00C00DE6"/>
    <w:rsid w:val="00C01218"/>
    <w:rsid w:val="00C01221"/>
    <w:rsid w:val="00C013FB"/>
    <w:rsid w:val="00C0146B"/>
    <w:rsid w:val="00C01481"/>
    <w:rsid w:val="00C01523"/>
    <w:rsid w:val="00C01663"/>
    <w:rsid w:val="00C0167A"/>
    <w:rsid w:val="00C0173E"/>
    <w:rsid w:val="00C0175F"/>
    <w:rsid w:val="00C01985"/>
    <w:rsid w:val="00C01A39"/>
    <w:rsid w:val="00C01A60"/>
    <w:rsid w:val="00C0231F"/>
    <w:rsid w:val="00C02444"/>
    <w:rsid w:val="00C0264E"/>
    <w:rsid w:val="00C029FF"/>
    <w:rsid w:val="00C030CB"/>
    <w:rsid w:val="00C03305"/>
    <w:rsid w:val="00C0349C"/>
    <w:rsid w:val="00C035C0"/>
    <w:rsid w:val="00C036F8"/>
    <w:rsid w:val="00C03A7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977"/>
    <w:rsid w:val="00C05A30"/>
    <w:rsid w:val="00C05BE3"/>
    <w:rsid w:val="00C05C3C"/>
    <w:rsid w:val="00C060EE"/>
    <w:rsid w:val="00C06194"/>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56D"/>
    <w:rsid w:val="00C12858"/>
    <w:rsid w:val="00C12B9D"/>
    <w:rsid w:val="00C12BFA"/>
    <w:rsid w:val="00C1303F"/>
    <w:rsid w:val="00C133B6"/>
    <w:rsid w:val="00C13453"/>
    <w:rsid w:val="00C135D2"/>
    <w:rsid w:val="00C136AD"/>
    <w:rsid w:val="00C137AE"/>
    <w:rsid w:val="00C138B9"/>
    <w:rsid w:val="00C138FB"/>
    <w:rsid w:val="00C13956"/>
    <w:rsid w:val="00C13D0F"/>
    <w:rsid w:val="00C13F8D"/>
    <w:rsid w:val="00C13FBA"/>
    <w:rsid w:val="00C140B3"/>
    <w:rsid w:val="00C14200"/>
    <w:rsid w:val="00C14338"/>
    <w:rsid w:val="00C144B8"/>
    <w:rsid w:val="00C148A0"/>
    <w:rsid w:val="00C14990"/>
    <w:rsid w:val="00C14D3C"/>
    <w:rsid w:val="00C151E6"/>
    <w:rsid w:val="00C152F3"/>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C5C"/>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8D6"/>
    <w:rsid w:val="00C23A30"/>
    <w:rsid w:val="00C23ABB"/>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3E40"/>
    <w:rsid w:val="00C34080"/>
    <w:rsid w:val="00C340A5"/>
    <w:rsid w:val="00C34562"/>
    <w:rsid w:val="00C3470C"/>
    <w:rsid w:val="00C34DCC"/>
    <w:rsid w:val="00C35104"/>
    <w:rsid w:val="00C3512A"/>
    <w:rsid w:val="00C35136"/>
    <w:rsid w:val="00C3535B"/>
    <w:rsid w:val="00C3538B"/>
    <w:rsid w:val="00C35624"/>
    <w:rsid w:val="00C3565C"/>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E4E"/>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6F6"/>
    <w:rsid w:val="00C438AE"/>
    <w:rsid w:val="00C438FE"/>
    <w:rsid w:val="00C43932"/>
    <w:rsid w:val="00C43A95"/>
    <w:rsid w:val="00C43E5D"/>
    <w:rsid w:val="00C43F52"/>
    <w:rsid w:val="00C44011"/>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EC"/>
    <w:rsid w:val="00C534F1"/>
    <w:rsid w:val="00C53560"/>
    <w:rsid w:val="00C5371A"/>
    <w:rsid w:val="00C53768"/>
    <w:rsid w:val="00C539A5"/>
    <w:rsid w:val="00C53A47"/>
    <w:rsid w:val="00C53BC3"/>
    <w:rsid w:val="00C53FF9"/>
    <w:rsid w:val="00C544C8"/>
    <w:rsid w:val="00C544F1"/>
    <w:rsid w:val="00C545CC"/>
    <w:rsid w:val="00C54ABB"/>
    <w:rsid w:val="00C54CD5"/>
    <w:rsid w:val="00C54D2E"/>
    <w:rsid w:val="00C54F21"/>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0CB5"/>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2E"/>
    <w:rsid w:val="00C65EF3"/>
    <w:rsid w:val="00C66349"/>
    <w:rsid w:val="00C664B1"/>
    <w:rsid w:val="00C664B9"/>
    <w:rsid w:val="00C664D2"/>
    <w:rsid w:val="00C6660E"/>
    <w:rsid w:val="00C6684D"/>
    <w:rsid w:val="00C66866"/>
    <w:rsid w:val="00C66D24"/>
    <w:rsid w:val="00C66F5D"/>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0AC"/>
    <w:rsid w:val="00C712E2"/>
    <w:rsid w:val="00C713DB"/>
    <w:rsid w:val="00C7147A"/>
    <w:rsid w:val="00C714B6"/>
    <w:rsid w:val="00C716E4"/>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662"/>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7F8"/>
    <w:rsid w:val="00C839A0"/>
    <w:rsid w:val="00C83A64"/>
    <w:rsid w:val="00C842BB"/>
    <w:rsid w:val="00C842FF"/>
    <w:rsid w:val="00C8448B"/>
    <w:rsid w:val="00C84627"/>
    <w:rsid w:val="00C84716"/>
    <w:rsid w:val="00C8489C"/>
    <w:rsid w:val="00C84B9F"/>
    <w:rsid w:val="00C84EDF"/>
    <w:rsid w:val="00C85071"/>
    <w:rsid w:val="00C85274"/>
    <w:rsid w:val="00C855DC"/>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43C"/>
    <w:rsid w:val="00C9277D"/>
    <w:rsid w:val="00C927B0"/>
    <w:rsid w:val="00C92B97"/>
    <w:rsid w:val="00C92F0E"/>
    <w:rsid w:val="00C92F27"/>
    <w:rsid w:val="00C92F9D"/>
    <w:rsid w:val="00C93076"/>
    <w:rsid w:val="00C934EE"/>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525"/>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84"/>
    <w:rsid w:val="00CA15A5"/>
    <w:rsid w:val="00CA15F3"/>
    <w:rsid w:val="00CA1781"/>
    <w:rsid w:val="00CA192A"/>
    <w:rsid w:val="00CA1B45"/>
    <w:rsid w:val="00CA1B79"/>
    <w:rsid w:val="00CA1EFB"/>
    <w:rsid w:val="00CA2201"/>
    <w:rsid w:val="00CA31AC"/>
    <w:rsid w:val="00CA330A"/>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A8E"/>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27"/>
    <w:rsid w:val="00CB06E7"/>
    <w:rsid w:val="00CB07AA"/>
    <w:rsid w:val="00CB0922"/>
    <w:rsid w:val="00CB0DE4"/>
    <w:rsid w:val="00CB1402"/>
    <w:rsid w:val="00CB142B"/>
    <w:rsid w:val="00CB14DD"/>
    <w:rsid w:val="00CB1694"/>
    <w:rsid w:val="00CB175E"/>
    <w:rsid w:val="00CB17B1"/>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83D"/>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2A6"/>
    <w:rsid w:val="00CC5F6D"/>
    <w:rsid w:val="00CC665B"/>
    <w:rsid w:val="00CC6F30"/>
    <w:rsid w:val="00CC6FF1"/>
    <w:rsid w:val="00CC7024"/>
    <w:rsid w:val="00CC7028"/>
    <w:rsid w:val="00CC7105"/>
    <w:rsid w:val="00CC71C6"/>
    <w:rsid w:val="00CC77A0"/>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85A"/>
    <w:rsid w:val="00CD1D4D"/>
    <w:rsid w:val="00CD2057"/>
    <w:rsid w:val="00CD207B"/>
    <w:rsid w:val="00CD21F8"/>
    <w:rsid w:val="00CD233A"/>
    <w:rsid w:val="00CD24D8"/>
    <w:rsid w:val="00CD27B1"/>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A4"/>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12F"/>
    <w:rsid w:val="00CE229D"/>
    <w:rsid w:val="00CE2497"/>
    <w:rsid w:val="00CE2547"/>
    <w:rsid w:val="00CE25A3"/>
    <w:rsid w:val="00CE2944"/>
    <w:rsid w:val="00CE2B25"/>
    <w:rsid w:val="00CE2BE4"/>
    <w:rsid w:val="00CE3309"/>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70E"/>
    <w:rsid w:val="00CE59B4"/>
    <w:rsid w:val="00CE5C1E"/>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08"/>
    <w:rsid w:val="00CF1F37"/>
    <w:rsid w:val="00CF23B6"/>
    <w:rsid w:val="00CF2528"/>
    <w:rsid w:val="00CF27E0"/>
    <w:rsid w:val="00CF27F7"/>
    <w:rsid w:val="00CF29A9"/>
    <w:rsid w:val="00CF2AFE"/>
    <w:rsid w:val="00CF2EC6"/>
    <w:rsid w:val="00CF3006"/>
    <w:rsid w:val="00CF334B"/>
    <w:rsid w:val="00CF33C3"/>
    <w:rsid w:val="00CF3594"/>
    <w:rsid w:val="00CF35F1"/>
    <w:rsid w:val="00CF394B"/>
    <w:rsid w:val="00CF3A44"/>
    <w:rsid w:val="00CF3DF1"/>
    <w:rsid w:val="00CF3E22"/>
    <w:rsid w:val="00CF3E68"/>
    <w:rsid w:val="00CF4140"/>
    <w:rsid w:val="00CF4242"/>
    <w:rsid w:val="00CF42C3"/>
    <w:rsid w:val="00CF431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3B2"/>
    <w:rsid w:val="00D008AA"/>
    <w:rsid w:val="00D009D9"/>
    <w:rsid w:val="00D01388"/>
    <w:rsid w:val="00D01542"/>
    <w:rsid w:val="00D01683"/>
    <w:rsid w:val="00D01A0C"/>
    <w:rsid w:val="00D01AC3"/>
    <w:rsid w:val="00D01B1A"/>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BA"/>
    <w:rsid w:val="00D047D8"/>
    <w:rsid w:val="00D04878"/>
    <w:rsid w:val="00D0488D"/>
    <w:rsid w:val="00D04A84"/>
    <w:rsid w:val="00D04B6F"/>
    <w:rsid w:val="00D04D63"/>
    <w:rsid w:val="00D04DA0"/>
    <w:rsid w:val="00D04DE9"/>
    <w:rsid w:val="00D04E32"/>
    <w:rsid w:val="00D05143"/>
    <w:rsid w:val="00D05172"/>
    <w:rsid w:val="00D05191"/>
    <w:rsid w:val="00D05446"/>
    <w:rsid w:val="00D05752"/>
    <w:rsid w:val="00D05BAA"/>
    <w:rsid w:val="00D05DC7"/>
    <w:rsid w:val="00D060ED"/>
    <w:rsid w:val="00D0618E"/>
    <w:rsid w:val="00D062EC"/>
    <w:rsid w:val="00D0630C"/>
    <w:rsid w:val="00D06334"/>
    <w:rsid w:val="00D066F1"/>
    <w:rsid w:val="00D06719"/>
    <w:rsid w:val="00D069D7"/>
    <w:rsid w:val="00D0743E"/>
    <w:rsid w:val="00D0754D"/>
    <w:rsid w:val="00D0756A"/>
    <w:rsid w:val="00D077C7"/>
    <w:rsid w:val="00D07941"/>
    <w:rsid w:val="00D07D47"/>
    <w:rsid w:val="00D07F46"/>
    <w:rsid w:val="00D1030C"/>
    <w:rsid w:val="00D1050C"/>
    <w:rsid w:val="00D10619"/>
    <w:rsid w:val="00D10D96"/>
    <w:rsid w:val="00D11032"/>
    <w:rsid w:val="00D112A1"/>
    <w:rsid w:val="00D1133C"/>
    <w:rsid w:val="00D1146A"/>
    <w:rsid w:val="00D114C7"/>
    <w:rsid w:val="00D115E5"/>
    <w:rsid w:val="00D117E3"/>
    <w:rsid w:val="00D1198C"/>
    <w:rsid w:val="00D12091"/>
    <w:rsid w:val="00D1219B"/>
    <w:rsid w:val="00D121A3"/>
    <w:rsid w:val="00D1226B"/>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7F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4"/>
    <w:rsid w:val="00D17BDE"/>
    <w:rsid w:val="00D17FB2"/>
    <w:rsid w:val="00D205AD"/>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230"/>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2AE"/>
    <w:rsid w:val="00D3274F"/>
    <w:rsid w:val="00D32B3C"/>
    <w:rsid w:val="00D32C62"/>
    <w:rsid w:val="00D331AC"/>
    <w:rsid w:val="00D33517"/>
    <w:rsid w:val="00D335FF"/>
    <w:rsid w:val="00D33606"/>
    <w:rsid w:val="00D33647"/>
    <w:rsid w:val="00D3366C"/>
    <w:rsid w:val="00D33E78"/>
    <w:rsid w:val="00D33E79"/>
    <w:rsid w:val="00D33EF5"/>
    <w:rsid w:val="00D34257"/>
    <w:rsid w:val="00D3439B"/>
    <w:rsid w:val="00D344EA"/>
    <w:rsid w:val="00D34968"/>
    <w:rsid w:val="00D349D3"/>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391"/>
    <w:rsid w:val="00D41409"/>
    <w:rsid w:val="00D416DF"/>
    <w:rsid w:val="00D41AB4"/>
    <w:rsid w:val="00D41CF7"/>
    <w:rsid w:val="00D41E8E"/>
    <w:rsid w:val="00D421F5"/>
    <w:rsid w:val="00D42331"/>
    <w:rsid w:val="00D42578"/>
    <w:rsid w:val="00D425A9"/>
    <w:rsid w:val="00D427FF"/>
    <w:rsid w:val="00D42B01"/>
    <w:rsid w:val="00D42D3F"/>
    <w:rsid w:val="00D433E4"/>
    <w:rsid w:val="00D4379D"/>
    <w:rsid w:val="00D4394A"/>
    <w:rsid w:val="00D43B58"/>
    <w:rsid w:val="00D43C4D"/>
    <w:rsid w:val="00D43F7B"/>
    <w:rsid w:val="00D441D3"/>
    <w:rsid w:val="00D44485"/>
    <w:rsid w:val="00D44715"/>
    <w:rsid w:val="00D447F6"/>
    <w:rsid w:val="00D44808"/>
    <w:rsid w:val="00D449C8"/>
    <w:rsid w:val="00D44BAA"/>
    <w:rsid w:val="00D44D9E"/>
    <w:rsid w:val="00D454DB"/>
    <w:rsid w:val="00D455E5"/>
    <w:rsid w:val="00D457F6"/>
    <w:rsid w:val="00D45993"/>
    <w:rsid w:val="00D45DC2"/>
    <w:rsid w:val="00D46391"/>
    <w:rsid w:val="00D469D5"/>
    <w:rsid w:val="00D46BCB"/>
    <w:rsid w:val="00D46F55"/>
    <w:rsid w:val="00D470FE"/>
    <w:rsid w:val="00D474C3"/>
    <w:rsid w:val="00D4755F"/>
    <w:rsid w:val="00D47B37"/>
    <w:rsid w:val="00D47BEF"/>
    <w:rsid w:val="00D47D6D"/>
    <w:rsid w:val="00D47E51"/>
    <w:rsid w:val="00D47F7D"/>
    <w:rsid w:val="00D500E8"/>
    <w:rsid w:val="00D5029A"/>
    <w:rsid w:val="00D50A00"/>
    <w:rsid w:val="00D50D04"/>
    <w:rsid w:val="00D50E43"/>
    <w:rsid w:val="00D5118C"/>
    <w:rsid w:val="00D511D9"/>
    <w:rsid w:val="00D513C0"/>
    <w:rsid w:val="00D514F6"/>
    <w:rsid w:val="00D51795"/>
    <w:rsid w:val="00D51A5B"/>
    <w:rsid w:val="00D51DE1"/>
    <w:rsid w:val="00D51E32"/>
    <w:rsid w:val="00D51FDE"/>
    <w:rsid w:val="00D5252E"/>
    <w:rsid w:val="00D526B3"/>
    <w:rsid w:val="00D5298C"/>
    <w:rsid w:val="00D52A39"/>
    <w:rsid w:val="00D52C0D"/>
    <w:rsid w:val="00D52E8E"/>
    <w:rsid w:val="00D531B8"/>
    <w:rsid w:val="00D53292"/>
    <w:rsid w:val="00D5355E"/>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0E77"/>
    <w:rsid w:val="00D612E5"/>
    <w:rsid w:val="00D613DD"/>
    <w:rsid w:val="00D6172A"/>
    <w:rsid w:val="00D6175D"/>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83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2E7B"/>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152"/>
    <w:rsid w:val="00D765C0"/>
    <w:rsid w:val="00D7662F"/>
    <w:rsid w:val="00D766CA"/>
    <w:rsid w:val="00D7680C"/>
    <w:rsid w:val="00D76B11"/>
    <w:rsid w:val="00D76E80"/>
    <w:rsid w:val="00D77219"/>
    <w:rsid w:val="00D77263"/>
    <w:rsid w:val="00D772B8"/>
    <w:rsid w:val="00D772BE"/>
    <w:rsid w:val="00D77764"/>
    <w:rsid w:val="00D7778E"/>
    <w:rsid w:val="00D778A3"/>
    <w:rsid w:val="00D77A96"/>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C09"/>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5D4A"/>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5F2A"/>
    <w:rsid w:val="00D96119"/>
    <w:rsid w:val="00D962E4"/>
    <w:rsid w:val="00D963B1"/>
    <w:rsid w:val="00D96509"/>
    <w:rsid w:val="00D9697E"/>
    <w:rsid w:val="00D971B0"/>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27BA"/>
    <w:rsid w:val="00DA32E5"/>
    <w:rsid w:val="00DA3377"/>
    <w:rsid w:val="00DA3427"/>
    <w:rsid w:val="00DA34DA"/>
    <w:rsid w:val="00DA36C9"/>
    <w:rsid w:val="00DA3B5C"/>
    <w:rsid w:val="00DA3CCC"/>
    <w:rsid w:val="00DA4119"/>
    <w:rsid w:val="00DA41EA"/>
    <w:rsid w:val="00DA437C"/>
    <w:rsid w:val="00DA43D8"/>
    <w:rsid w:val="00DA4453"/>
    <w:rsid w:val="00DA4476"/>
    <w:rsid w:val="00DA44A0"/>
    <w:rsid w:val="00DA48B8"/>
    <w:rsid w:val="00DA4A74"/>
    <w:rsid w:val="00DA4BF2"/>
    <w:rsid w:val="00DA4C71"/>
    <w:rsid w:val="00DA5489"/>
    <w:rsid w:val="00DA575A"/>
    <w:rsid w:val="00DA59FB"/>
    <w:rsid w:val="00DA5BF7"/>
    <w:rsid w:val="00DA5D6F"/>
    <w:rsid w:val="00DA6187"/>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1EE9"/>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4A"/>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495"/>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6F8"/>
    <w:rsid w:val="00DC3B90"/>
    <w:rsid w:val="00DC3C50"/>
    <w:rsid w:val="00DC40EB"/>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B8F"/>
    <w:rsid w:val="00DD0C4B"/>
    <w:rsid w:val="00DD0D6D"/>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972"/>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4ECA"/>
    <w:rsid w:val="00DD50A7"/>
    <w:rsid w:val="00DD5488"/>
    <w:rsid w:val="00DD58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D7A12"/>
    <w:rsid w:val="00DE027D"/>
    <w:rsid w:val="00DE08CC"/>
    <w:rsid w:val="00DE0B62"/>
    <w:rsid w:val="00DE0C45"/>
    <w:rsid w:val="00DE0D72"/>
    <w:rsid w:val="00DE0F92"/>
    <w:rsid w:val="00DE0FA9"/>
    <w:rsid w:val="00DE1183"/>
    <w:rsid w:val="00DE1311"/>
    <w:rsid w:val="00DE1C38"/>
    <w:rsid w:val="00DE1C76"/>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7C"/>
    <w:rsid w:val="00DE3C84"/>
    <w:rsid w:val="00DE3DD2"/>
    <w:rsid w:val="00DE3E96"/>
    <w:rsid w:val="00DE4011"/>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E7F4A"/>
    <w:rsid w:val="00DF0016"/>
    <w:rsid w:val="00DF0661"/>
    <w:rsid w:val="00DF0734"/>
    <w:rsid w:val="00DF0A41"/>
    <w:rsid w:val="00DF0BC8"/>
    <w:rsid w:val="00DF0CE0"/>
    <w:rsid w:val="00DF1549"/>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19"/>
    <w:rsid w:val="00DF36D4"/>
    <w:rsid w:val="00DF390C"/>
    <w:rsid w:val="00DF3A96"/>
    <w:rsid w:val="00DF3CF5"/>
    <w:rsid w:val="00DF4362"/>
    <w:rsid w:val="00DF4457"/>
    <w:rsid w:val="00DF44B1"/>
    <w:rsid w:val="00DF4990"/>
    <w:rsid w:val="00DF4A72"/>
    <w:rsid w:val="00DF4B13"/>
    <w:rsid w:val="00DF4BBD"/>
    <w:rsid w:val="00DF5002"/>
    <w:rsid w:val="00DF53DE"/>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AFE"/>
    <w:rsid w:val="00E14CF8"/>
    <w:rsid w:val="00E14D4E"/>
    <w:rsid w:val="00E14E07"/>
    <w:rsid w:val="00E14F04"/>
    <w:rsid w:val="00E14FDE"/>
    <w:rsid w:val="00E15370"/>
    <w:rsid w:val="00E155E6"/>
    <w:rsid w:val="00E15622"/>
    <w:rsid w:val="00E1562A"/>
    <w:rsid w:val="00E15AEC"/>
    <w:rsid w:val="00E15D6A"/>
    <w:rsid w:val="00E15EC0"/>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1E9C"/>
    <w:rsid w:val="00E22244"/>
    <w:rsid w:val="00E22345"/>
    <w:rsid w:val="00E229AE"/>
    <w:rsid w:val="00E22DA8"/>
    <w:rsid w:val="00E23087"/>
    <w:rsid w:val="00E232D1"/>
    <w:rsid w:val="00E23424"/>
    <w:rsid w:val="00E234BB"/>
    <w:rsid w:val="00E23770"/>
    <w:rsid w:val="00E238B6"/>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6850"/>
    <w:rsid w:val="00E26BDD"/>
    <w:rsid w:val="00E27306"/>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7FB"/>
    <w:rsid w:val="00E32873"/>
    <w:rsid w:val="00E32972"/>
    <w:rsid w:val="00E32A2B"/>
    <w:rsid w:val="00E32BAE"/>
    <w:rsid w:val="00E32DA4"/>
    <w:rsid w:val="00E32F9C"/>
    <w:rsid w:val="00E33150"/>
    <w:rsid w:val="00E33159"/>
    <w:rsid w:val="00E333EF"/>
    <w:rsid w:val="00E336D3"/>
    <w:rsid w:val="00E3382C"/>
    <w:rsid w:val="00E33C22"/>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546"/>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4D"/>
    <w:rsid w:val="00E505F8"/>
    <w:rsid w:val="00E512FA"/>
    <w:rsid w:val="00E5148F"/>
    <w:rsid w:val="00E515D4"/>
    <w:rsid w:val="00E51CAD"/>
    <w:rsid w:val="00E51CB7"/>
    <w:rsid w:val="00E51CD4"/>
    <w:rsid w:val="00E51CD8"/>
    <w:rsid w:val="00E51EC3"/>
    <w:rsid w:val="00E51EEE"/>
    <w:rsid w:val="00E5209B"/>
    <w:rsid w:val="00E5214C"/>
    <w:rsid w:val="00E5222B"/>
    <w:rsid w:val="00E52354"/>
    <w:rsid w:val="00E52449"/>
    <w:rsid w:val="00E52707"/>
    <w:rsid w:val="00E52A86"/>
    <w:rsid w:val="00E53462"/>
    <w:rsid w:val="00E535E1"/>
    <w:rsid w:val="00E53827"/>
    <w:rsid w:val="00E53878"/>
    <w:rsid w:val="00E53CB5"/>
    <w:rsid w:val="00E53F04"/>
    <w:rsid w:val="00E541BF"/>
    <w:rsid w:val="00E541E6"/>
    <w:rsid w:val="00E54300"/>
    <w:rsid w:val="00E54303"/>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8B"/>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1F"/>
    <w:rsid w:val="00E675C3"/>
    <w:rsid w:val="00E67663"/>
    <w:rsid w:val="00E67693"/>
    <w:rsid w:val="00E67776"/>
    <w:rsid w:val="00E67F8A"/>
    <w:rsid w:val="00E701EE"/>
    <w:rsid w:val="00E7056D"/>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988"/>
    <w:rsid w:val="00E75B2C"/>
    <w:rsid w:val="00E75D2E"/>
    <w:rsid w:val="00E75F51"/>
    <w:rsid w:val="00E76551"/>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5FE0"/>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EE"/>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652"/>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13"/>
    <w:rsid w:val="00EA2554"/>
    <w:rsid w:val="00EA2619"/>
    <w:rsid w:val="00EA2A41"/>
    <w:rsid w:val="00EA2AE0"/>
    <w:rsid w:val="00EA2F85"/>
    <w:rsid w:val="00EA3110"/>
    <w:rsid w:val="00EA319D"/>
    <w:rsid w:val="00EA3261"/>
    <w:rsid w:val="00EA33A6"/>
    <w:rsid w:val="00EA3676"/>
    <w:rsid w:val="00EA37D7"/>
    <w:rsid w:val="00EA3DAB"/>
    <w:rsid w:val="00EA3F07"/>
    <w:rsid w:val="00EA3F21"/>
    <w:rsid w:val="00EA4242"/>
    <w:rsid w:val="00EA4249"/>
    <w:rsid w:val="00EA44A3"/>
    <w:rsid w:val="00EA44DA"/>
    <w:rsid w:val="00EA4647"/>
    <w:rsid w:val="00EA5069"/>
    <w:rsid w:val="00EA5139"/>
    <w:rsid w:val="00EA51D0"/>
    <w:rsid w:val="00EA5420"/>
    <w:rsid w:val="00EA55E6"/>
    <w:rsid w:val="00EA578A"/>
    <w:rsid w:val="00EA57FB"/>
    <w:rsid w:val="00EA5CA3"/>
    <w:rsid w:val="00EA5DA1"/>
    <w:rsid w:val="00EA61D3"/>
    <w:rsid w:val="00EA636B"/>
    <w:rsid w:val="00EA6394"/>
    <w:rsid w:val="00EA656B"/>
    <w:rsid w:val="00EA6619"/>
    <w:rsid w:val="00EA6732"/>
    <w:rsid w:val="00EA6CFD"/>
    <w:rsid w:val="00EA6D2E"/>
    <w:rsid w:val="00EA6E07"/>
    <w:rsid w:val="00EA6F67"/>
    <w:rsid w:val="00EA6FE7"/>
    <w:rsid w:val="00EA7276"/>
    <w:rsid w:val="00EA73EB"/>
    <w:rsid w:val="00EA76F5"/>
    <w:rsid w:val="00EA77B8"/>
    <w:rsid w:val="00EA7834"/>
    <w:rsid w:val="00EA7D28"/>
    <w:rsid w:val="00EA7E26"/>
    <w:rsid w:val="00EA7E98"/>
    <w:rsid w:val="00EB0896"/>
    <w:rsid w:val="00EB0B5D"/>
    <w:rsid w:val="00EB0E79"/>
    <w:rsid w:val="00EB175A"/>
    <w:rsid w:val="00EB18FC"/>
    <w:rsid w:val="00EB196C"/>
    <w:rsid w:val="00EB1A49"/>
    <w:rsid w:val="00EB1F55"/>
    <w:rsid w:val="00EB204E"/>
    <w:rsid w:val="00EB286D"/>
    <w:rsid w:val="00EB2AC0"/>
    <w:rsid w:val="00EB2CD4"/>
    <w:rsid w:val="00EB2D9E"/>
    <w:rsid w:val="00EB2E9D"/>
    <w:rsid w:val="00EB2F36"/>
    <w:rsid w:val="00EB2F87"/>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C"/>
    <w:rsid w:val="00EB5FCF"/>
    <w:rsid w:val="00EB6411"/>
    <w:rsid w:val="00EB6460"/>
    <w:rsid w:val="00EB6554"/>
    <w:rsid w:val="00EB68ED"/>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628"/>
    <w:rsid w:val="00EC2827"/>
    <w:rsid w:val="00EC295E"/>
    <w:rsid w:val="00EC2C78"/>
    <w:rsid w:val="00EC2D1B"/>
    <w:rsid w:val="00EC2D39"/>
    <w:rsid w:val="00EC2EC6"/>
    <w:rsid w:val="00EC3106"/>
    <w:rsid w:val="00EC3370"/>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5A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C9D"/>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7F9"/>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577"/>
    <w:rsid w:val="00EE0815"/>
    <w:rsid w:val="00EE0B19"/>
    <w:rsid w:val="00EE0B72"/>
    <w:rsid w:val="00EE0F04"/>
    <w:rsid w:val="00EE0F4D"/>
    <w:rsid w:val="00EE0FA1"/>
    <w:rsid w:val="00EE1124"/>
    <w:rsid w:val="00EE15AD"/>
    <w:rsid w:val="00EE16AB"/>
    <w:rsid w:val="00EE17C9"/>
    <w:rsid w:val="00EE187A"/>
    <w:rsid w:val="00EE1D72"/>
    <w:rsid w:val="00EE2AEC"/>
    <w:rsid w:val="00EE2B82"/>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4C1"/>
    <w:rsid w:val="00EE6BDE"/>
    <w:rsid w:val="00EE6E8C"/>
    <w:rsid w:val="00EE7086"/>
    <w:rsid w:val="00EE7281"/>
    <w:rsid w:val="00EE72C5"/>
    <w:rsid w:val="00EE73B0"/>
    <w:rsid w:val="00EE7476"/>
    <w:rsid w:val="00EE76BE"/>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A5A"/>
    <w:rsid w:val="00EF0BEE"/>
    <w:rsid w:val="00EF0E88"/>
    <w:rsid w:val="00EF0F3E"/>
    <w:rsid w:val="00EF0F7C"/>
    <w:rsid w:val="00EF11C4"/>
    <w:rsid w:val="00EF1DF4"/>
    <w:rsid w:val="00EF1EF8"/>
    <w:rsid w:val="00EF20ED"/>
    <w:rsid w:val="00EF22E2"/>
    <w:rsid w:val="00EF2383"/>
    <w:rsid w:val="00EF26FF"/>
    <w:rsid w:val="00EF2750"/>
    <w:rsid w:val="00EF2A20"/>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A43"/>
    <w:rsid w:val="00EF5B1E"/>
    <w:rsid w:val="00EF5B2E"/>
    <w:rsid w:val="00EF5D7F"/>
    <w:rsid w:val="00EF6474"/>
    <w:rsid w:val="00EF66E3"/>
    <w:rsid w:val="00EF681B"/>
    <w:rsid w:val="00EF68B7"/>
    <w:rsid w:val="00EF68DA"/>
    <w:rsid w:val="00EF6929"/>
    <w:rsid w:val="00EF711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36D"/>
    <w:rsid w:val="00F043AE"/>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861"/>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591"/>
    <w:rsid w:val="00F11808"/>
    <w:rsid w:val="00F11AA2"/>
    <w:rsid w:val="00F11B44"/>
    <w:rsid w:val="00F11B6C"/>
    <w:rsid w:val="00F11BA4"/>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B83"/>
    <w:rsid w:val="00F14C06"/>
    <w:rsid w:val="00F14E45"/>
    <w:rsid w:val="00F152A1"/>
    <w:rsid w:val="00F156F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AB"/>
    <w:rsid w:val="00F210CD"/>
    <w:rsid w:val="00F21164"/>
    <w:rsid w:val="00F2129D"/>
    <w:rsid w:val="00F215AD"/>
    <w:rsid w:val="00F21A35"/>
    <w:rsid w:val="00F21FD0"/>
    <w:rsid w:val="00F22083"/>
    <w:rsid w:val="00F223FC"/>
    <w:rsid w:val="00F224B1"/>
    <w:rsid w:val="00F224BA"/>
    <w:rsid w:val="00F228FB"/>
    <w:rsid w:val="00F22A56"/>
    <w:rsid w:val="00F22B2C"/>
    <w:rsid w:val="00F22CAD"/>
    <w:rsid w:val="00F2327A"/>
    <w:rsid w:val="00F2343B"/>
    <w:rsid w:val="00F234A6"/>
    <w:rsid w:val="00F23634"/>
    <w:rsid w:val="00F23686"/>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1C9"/>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C86"/>
    <w:rsid w:val="00F33E3D"/>
    <w:rsid w:val="00F3405B"/>
    <w:rsid w:val="00F34372"/>
    <w:rsid w:val="00F34D39"/>
    <w:rsid w:val="00F34DEC"/>
    <w:rsid w:val="00F34E63"/>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AF8"/>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DFA"/>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89"/>
    <w:rsid w:val="00F47C7F"/>
    <w:rsid w:val="00F50109"/>
    <w:rsid w:val="00F5025B"/>
    <w:rsid w:val="00F506C6"/>
    <w:rsid w:val="00F50A28"/>
    <w:rsid w:val="00F50A5C"/>
    <w:rsid w:val="00F50A6D"/>
    <w:rsid w:val="00F50D7C"/>
    <w:rsid w:val="00F50DCF"/>
    <w:rsid w:val="00F51393"/>
    <w:rsid w:val="00F51621"/>
    <w:rsid w:val="00F51742"/>
    <w:rsid w:val="00F51B90"/>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0AE"/>
    <w:rsid w:val="00F57445"/>
    <w:rsid w:val="00F57882"/>
    <w:rsid w:val="00F5788B"/>
    <w:rsid w:val="00F57906"/>
    <w:rsid w:val="00F5797A"/>
    <w:rsid w:val="00F579A9"/>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71C"/>
    <w:rsid w:val="00F61810"/>
    <w:rsid w:val="00F618E9"/>
    <w:rsid w:val="00F6191E"/>
    <w:rsid w:val="00F61A0B"/>
    <w:rsid w:val="00F6208A"/>
    <w:rsid w:val="00F625CD"/>
    <w:rsid w:val="00F625EB"/>
    <w:rsid w:val="00F62618"/>
    <w:rsid w:val="00F627A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B1F"/>
    <w:rsid w:val="00F64CA2"/>
    <w:rsid w:val="00F65160"/>
    <w:rsid w:val="00F651F0"/>
    <w:rsid w:val="00F65259"/>
    <w:rsid w:val="00F6532F"/>
    <w:rsid w:val="00F6538B"/>
    <w:rsid w:val="00F65629"/>
    <w:rsid w:val="00F658E4"/>
    <w:rsid w:val="00F65CEF"/>
    <w:rsid w:val="00F65E81"/>
    <w:rsid w:val="00F65E90"/>
    <w:rsid w:val="00F65EDB"/>
    <w:rsid w:val="00F66577"/>
    <w:rsid w:val="00F66784"/>
    <w:rsid w:val="00F667FF"/>
    <w:rsid w:val="00F668E4"/>
    <w:rsid w:val="00F66E65"/>
    <w:rsid w:val="00F66ECA"/>
    <w:rsid w:val="00F66FBD"/>
    <w:rsid w:val="00F670E4"/>
    <w:rsid w:val="00F6711E"/>
    <w:rsid w:val="00F67569"/>
    <w:rsid w:val="00F6756E"/>
    <w:rsid w:val="00F67A29"/>
    <w:rsid w:val="00F67AA2"/>
    <w:rsid w:val="00F67C3E"/>
    <w:rsid w:val="00F67CD9"/>
    <w:rsid w:val="00F67F37"/>
    <w:rsid w:val="00F70225"/>
    <w:rsid w:val="00F70557"/>
    <w:rsid w:val="00F70568"/>
    <w:rsid w:val="00F707B3"/>
    <w:rsid w:val="00F708F9"/>
    <w:rsid w:val="00F70943"/>
    <w:rsid w:val="00F70A26"/>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2D"/>
    <w:rsid w:val="00F73075"/>
    <w:rsid w:val="00F73461"/>
    <w:rsid w:val="00F73475"/>
    <w:rsid w:val="00F73902"/>
    <w:rsid w:val="00F73B5F"/>
    <w:rsid w:val="00F73C1C"/>
    <w:rsid w:val="00F73F2D"/>
    <w:rsid w:val="00F73FAF"/>
    <w:rsid w:val="00F74119"/>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78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0C"/>
    <w:rsid w:val="00F9242C"/>
    <w:rsid w:val="00F929CE"/>
    <w:rsid w:val="00F92AAA"/>
    <w:rsid w:val="00F930DB"/>
    <w:rsid w:val="00F93142"/>
    <w:rsid w:val="00F933B6"/>
    <w:rsid w:val="00F937CD"/>
    <w:rsid w:val="00F9392A"/>
    <w:rsid w:val="00F93BB2"/>
    <w:rsid w:val="00F93FDB"/>
    <w:rsid w:val="00F94284"/>
    <w:rsid w:val="00F944BD"/>
    <w:rsid w:val="00F944D0"/>
    <w:rsid w:val="00F946E3"/>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6DA"/>
    <w:rsid w:val="00F977B5"/>
    <w:rsid w:val="00F97A25"/>
    <w:rsid w:val="00F97AFF"/>
    <w:rsid w:val="00F97B04"/>
    <w:rsid w:val="00F97F26"/>
    <w:rsid w:val="00FA0133"/>
    <w:rsid w:val="00FA02C2"/>
    <w:rsid w:val="00FA0405"/>
    <w:rsid w:val="00FA07EC"/>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5CB"/>
    <w:rsid w:val="00FA6026"/>
    <w:rsid w:val="00FA60A5"/>
    <w:rsid w:val="00FA6518"/>
    <w:rsid w:val="00FA6679"/>
    <w:rsid w:val="00FA6734"/>
    <w:rsid w:val="00FA6B0D"/>
    <w:rsid w:val="00FA6B6A"/>
    <w:rsid w:val="00FA6C85"/>
    <w:rsid w:val="00FA6E14"/>
    <w:rsid w:val="00FA6F35"/>
    <w:rsid w:val="00FA7008"/>
    <w:rsid w:val="00FA7357"/>
    <w:rsid w:val="00FA739C"/>
    <w:rsid w:val="00FA73B3"/>
    <w:rsid w:val="00FA7463"/>
    <w:rsid w:val="00FA786F"/>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1A"/>
    <w:rsid w:val="00FB20D1"/>
    <w:rsid w:val="00FB210A"/>
    <w:rsid w:val="00FB213E"/>
    <w:rsid w:val="00FB2272"/>
    <w:rsid w:val="00FB26AF"/>
    <w:rsid w:val="00FB278F"/>
    <w:rsid w:val="00FB286C"/>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64C"/>
    <w:rsid w:val="00FC1755"/>
    <w:rsid w:val="00FC1853"/>
    <w:rsid w:val="00FC1914"/>
    <w:rsid w:val="00FC21B8"/>
    <w:rsid w:val="00FC21C4"/>
    <w:rsid w:val="00FC223A"/>
    <w:rsid w:val="00FC245F"/>
    <w:rsid w:val="00FC272C"/>
    <w:rsid w:val="00FC29D0"/>
    <w:rsid w:val="00FC29FF"/>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CE0"/>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2F05"/>
    <w:rsid w:val="00FD34EC"/>
    <w:rsid w:val="00FD370D"/>
    <w:rsid w:val="00FD3B28"/>
    <w:rsid w:val="00FD3B55"/>
    <w:rsid w:val="00FD406F"/>
    <w:rsid w:val="00FD437B"/>
    <w:rsid w:val="00FD49D3"/>
    <w:rsid w:val="00FD4BB3"/>
    <w:rsid w:val="00FD4EF4"/>
    <w:rsid w:val="00FD531F"/>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653"/>
    <w:rsid w:val="00FD7DD9"/>
    <w:rsid w:val="00FD7EDF"/>
    <w:rsid w:val="00FD7F74"/>
    <w:rsid w:val="00FD7F93"/>
    <w:rsid w:val="00FD7F9E"/>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A22"/>
    <w:rsid w:val="00FE5C6A"/>
    <w:rsid w:val="00FE62FF"/>
    <w:rsid w:val="00FE6497"/>
    <w:rsid w:val="00FE65F0"/>
    <w:rsid w:val="00FE6D4D"/>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15D"/>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3A"/>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9C0EB8"/>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5E0525"/>
    <w:rsid w:val="0B627E12"/>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230B4"/>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CD45F6"/>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4798D"/>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46462"/>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72B07"/>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3D2F9C"/>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B4D9C"/>
    <w:rsid w:val="1D0C1DDC"/>
    <w:rsid w:val="1D0D0561"/>
    <w:rsid w:val="1D132ACA"/>
    <w:rsid w:val="1D2B0F93"/>
    <w:rsid w:val="1D315EEC"/>
    <w:rsid w:val="1D316B5C"/>
    <w:rsid w:val="1D320508"/>
    <w:rsid w:val="1D33002D"/>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8677A8"/>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03CE8"/>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A27774"/>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A3533D"/>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61B8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3C0ADB"/>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33D18"/>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BEE7571"/>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86F78"/>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1C46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A2A12"/>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4227F"/>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12126"/>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B0251"/>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74A73"/>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41FE9"/>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7D7"/>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246F5"/>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link w:val="109"/>
    <w:qFormat/>
    <w:uiPriority w:val="0"/>
    <w:pPr>
      <w:keepNext/>
      <w:keepLines/>
      <w:spacing w:after="0"/>
    </w:pPr>
    <w:rPr>
      <w:rFonts w:ascii="Arial" w:hAnsi="Arial"/>
      <w:sz w:val="18"/>
    </w:rPr>
  </w:style>
  <w:style w:type="paragraph" w:customStyle="1" w:styleId="58">
    <w:name w:val="TH"/>
    <w:basedOn w:val="1"/>
    <w:link w:val="108"/>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0"/>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02">
    <w:name w:val="修订1"/>
    <w:hidden/>
    <w:semiHidden/>
    <w:qFormat/>
    <w:uiPriority w:val="99"/>
    <w:rPr>
      <w:rFonts w:ascii="Calibri" w:hAnsi="Calibri" w:cs="Times New Roman" w:eastAsiaTheme="minorEastAsia"/>
      <w:sz w:val="22"/>
      <w:szCs w:val="22"/>
      <w:lang w:val="en-US" w:eastAsia="zh-CN" w:bidi="ar-SA"/>
    </w:rPr>
  </w:style>
  <w:style w:type="paragraph" w:customStyle="1" w:styleId="103">
    <w:name w:val="Proposal"/>
    <w:basedOn w:val="12"/>
    <w:link w:val="104"/>
    <w:qFormat/>
    <w:uiPriority w:val="0"/>
    <w:pPr>
      <w:widowControl/>
      <w:numPr>
        <w:ilvl w:val="0"/>
        <w:numId w:val="3"/>
      </w:numPr>
      <w:tabs>
        <w:tab w:val="left" w:pos="1701"/>
      </w:tabs>
      <w:spacing w:after="120" w:line="259" w:lineRule="auto"/>
    </w:pPr>
    <w:rPr>
      <w:rFonts w:ascii="Arial" w:hAnsi="Arial" w:eastAsiaTheme="minorHAnsi" w:cstheme="minorBidi"/>
      <w:b/>
      <w:bCs/>
      <w:color w:val="auto"/>
      <w:kern w:val="0"/>
      <w:sz w:val="22"/>
      <w:szCs w:val="22"/>
    </w:rPr>
  </w:style>
  <w:style w:type="character" w:customStyle="1" w:styleId="104">
    <w:name w:val="Proposal Char"/>
    <w:basedOn w:val="25"/>
    <w:link w:val="103"/>
    <w:qFormat/>
    <w:locked/>
    <w:uiPriority w:val="0"/>
    <w:rPr>
      <w:rFonts w:ascii="Arial" w:hAnsi="Arial" w:eastAsiaTheme="minorHAnsi" w:cstheme="minorBidi"/>
      <w:b/>
      <w:bCs/>
      <w:sz w:val="22"/>
      <w:szCs w:val="22"/>
    </w:rPr>
  </w:style>
  <w:style w:type="table" w:customStyle="1" w:styleId="105">
    <w:name w:val="网格型2"/>
    <w:basedOn w:val="2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6">
    <w:name w:val="B1 Zchn"/>
    <w:qFormat/>
    <w:uiPriority w:val="0"/>
    <w:rPr>
      <w:lang w:val="en-GB" w:eastAsia="en-US"/>
    </w:rPr>
  </w:style>
  <w:style w:type="paragraph" w:customStyle="1" w:styleId="107">
    <w:name w:val="NO"/>
    <w:basedOn w:val="1"/>
    <w:qFormat/>
    <w:uiPriority w:val="0"/>
    <w:pPr>
      <w:keepLines/>
      <w:widowControl w:val="0"/>
      <w:spacing w:before="100" w:beforeAutospacing="1" w:after="180" w:line="240" w:lineRule="auto"/>
      <w:ind w:left="1135" w:hanging="851"/>
    </w:pPr>
    <w:rPr>
      <w:rFonts w:ascii="Times New Roman" w:hAnsi="Times New Roman" w:eastAsia="宋体"/>
      <w:sz w:val="24"/>
      <w:szCs w:val="24"/>
    </w:rPr>
  </w:style>
  <w:style w:type="character" w:customStyle="1" w:styleId="108">
    <w:name w:val="TH Char"/>
    <w:link w:val="58"/>
    <w:qFormat/>
    <w:uiPriority w:val="0"/>
    <w:rPr>
      <w:rFonts w:ascii="Arial" w:hAnsi="Arial" w:eastAsiaTheme="minorEastAsia"/>
      <w:b/>
      <w:lang w:val="en-GB" w:eastAsia="en-US"/>
    </w:rPr>
  </w:style>
  <w:style w:type="character" w:customStyle="1" w:styleId="109">
    <w:name w:val="TAL Char"/>
    <w:link w:val="57"/>
    <w:qFormat/>
    <w:locked/>
    <w:uiPriority w:val="0"/>
    <w:rPr>
      <w:rFonts w:ascii="Arial" w:hAnsi="Arial" w:eastAsiaTheme="minorEastAsia"/>
      <w:sz w:val="18"/>
      <w:szCs w:val="22"/>
    </w:rPr>
  </w:style>
  <w:style w:type="character" w:styleId="110">
    <w:name w:val="Placeholder Text"/>
    <w:basedOn w:val="25"/>
    <w:semiHidden/>
    <w:qFormat/>
    <w:uiPriority w:val="99"/>
    <w:rPr>
      <w:color w:val="808080"/>
    </w:rPr>
  </w:style>
  <w:style w:type="table" w:customStyle="1" w:styleId="111">
    <w:name w:val="网格型3"/>
    <w:basedOn w:val="2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2">
    <w:name w:val="List Paragraph Char"/>
    <w:qFormat/>
    <w:locked/>
    <w:uiPriority w:val="34"/>
    <w:rPr>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emf"/><Relationship Id="rId17" Type="http://schemas.openxmlformats.org/officeDocument/2006/relationships/image" Target="media/image12.emf"/><Relationship Id="rId16" Type="http://schemas.openxmlformats.org/officeDocument/2006/relationships/image" Target="media/image11.emf"/><Relationship Id="rId15" Type="http://schemas.openxmlformats.org/officeDocument/2006/relationships/image" Target="media/image10.emf"/><Relationship Id="rId14" Type="http://schemas.openxmlformats.org/officeDocument/2006/relationships/image" Target="media/image9.emf"/><Relationship Id="rId13" Type="http://schemas.openxmlformats.org/officeDocument/2006/relationships/image" Target="media/image8.emf"/><Relationship Id="rId12" Type="http://schemas.openxmlformats.org/officeDocument/2006/relationships/image" Target="media/image7.emf"/><Relationship Id="rId11" Type="http://schemas.openxmlformats.org/officeDocument/2006/relationships/image" Target="media/image6.png"/><Relationship Id="rId10" Type="http://schemas.openxmlformats.org/officeDocument/2006/relationships/image" Target="media/image5.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52EC58-9C24-49EE-83E0-92A7F417584C}">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20</Pages>
  <Words>3988</Words>
  <Characters>22737</Characters>
  <Lines>189</Lines>
  <Paragraphs>53</Paragraphs>
  <TotalTime>198</TotalTime>
  <ScaleCrop>false</ScaleCrop>
  <LinksUpToDate>false</LinksUpToDate>
  <CharactersWithSpaces>26672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ZTE</cp:lastModifiedBy>
  <dcterms:modified xsi:type="dcterms:W3CDTF">2022-09-30T07:32:33Z</dcterms:modified>
  <cp:revision>1101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